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78C" w:rsidRDefault="0089478C"/>
    <w:p w:rsidR="0089478C" w:rsidRDefault="0089478C"/>
    <w:p w:rsidR="0089478C" w:rsidRDefault="00C144CE">
      <w:r>
        <w:rPr>
          <w:noProof/>
          <w:lang w:eastAsia="it-IT"/>
        </w:rPr>
        <w:drawing>
          <wp:anchor distT="0" distB="0" distL="114300" distR="114300" simplePos="0" relativeHeight="251658240" behindDoc="0" locked="0" layoutInCell="1" allowOverlap="1" wp14:anchorId="04E5F0C1" wp14:editId="0451CDF2">
            <wp:simplePos x="0" y="0"/>
            <wp:positionH relativeFrom="margin">
              <wp:posOffset>3781425</wp:posOffset>
            </wp:positionH>
            <wp:positionV relativeFrom="margin">
              <wp:posOffset>946150</wp:posOffset>
            </wp:positionV>
            <wp:extent cx="1831269" cy="1136650"/>
            <wp:effectExtent l="0" t="0" r="0" b="635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31269" cy="1136650"/>
                    </a:xfrm>
                    <a:prstGeom prst="rect">
                      <a:avLst/>
                    </a:prstGeom>
                  </pic:spPr>
                </pic:pic>
              </a:graphicData>
            </a:graphic>
          </wp:anchor>
        </w:drawing>
      </w:r>
      <w:r w:rsidR="0089478C">
        <w:rPr>
          <w:noProof/>
          <w:lang w:eastAsia="it-IT"/>
        </w:rPr>
        <w:drawing>
          <wp:anchor distT="0" distB="0" distL="114300" distR="114300" simplePos="0" relativeHeight="251656192" behindDoc="1" locked="0" layoutInCell="1" allowOverlap="1" wp14:anchorId="1F400D0E" wp14:editId="7741954B">
            <wp:simplePos x="0" y="0"/>
            <wp:positionH relativeFrom="page">
              <wp:posOffset>1290955</wp:posOffset>
            </wp:positionH>
            <wp:positionV relativeFrom="page">
              <wp:posOffset>1951990</wp:posOffset>
            </wp:positionV>
            <wp:extent cx="909955" cy="775335"/>
            <wp:effectExtent l="0" t="0" r="4445" b="5715"/>
            <wp:wrapNone/>
            <wp:docPr id="2" name="Immagine 2" descr="6B85D03233734177ADB345A02F5B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B85D03233734177ADB345A02F5B24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955" cy="775335"/>
                    </a:xfrm>
                    <a:prstGeom prst="rect">
                      <a:avLst/>
                    </a:prstGeom>
                    <a:noFill/>
                  </pic:spPr>
                </pic:pic>
              </a:graphicData>
            </a:graphic>
            <wp14:sizeRelH relativeFrom="page">
              <wp14:pctWidth>0</wp14:pctWidth>
            </wp14:sizeRelH>
            <wp14:sizeRelV relativeFrom="page">
              <wp14:pctHeight>0</wp14:pctHeight>
            </wp14:sizeRelV>
          </wp:anchor>
        </w:drawing>
      </w:r>
    </w:p>
    <w:p w:rsidR="0089478C" w:rsidRDefault="0089478C"/>
    <w:p w:rsidR="0089478C" w:rsidRDefault="0089478C"/>
    <w:p w:rsidR="0089478C" w:rsidRDefault="0089478C"/>
    <w:p w:rsidR="0089478C" w:rsidRPr="0089478C" w:rsidRDefault="0089478C">
      <w:pPr>
        <w:rPr>
          <w:b/>
        </w:rPr>
      </w:pPr>
      <w:r w:rsidRPr="0089478C">
        <w:rPr>
          <w:b/>
        </w:rPr>
        <w:t xml:space="preserve">   Assessorato Regionale della Salute</w:t>
      </w:r>
    </w:p>
    <w:p w:rsidR="0089478C" w:rsidRDefault="0089478C"/>
    <w:p w:rsidR="0089478C" w:rsidRDefault="0089478C"/>
    <w:p w:rsidR="0089478C" w:rsidRDefault="0089478C"/>
    <w:p w:rsidR="0089478C" w:rsidRDefault="0089478C"/>
    <w:p w:rsidR="0089478C" w:rsidRPr="0089478C" w:rsidRDefault="0089478C" w:rsidP="0089478C">
      <w:pPr>
        <w:jc w:val="center"/>
        <w:rPr>
          <w:b/>
          <w:sz w:val="32"/>
        </w:rPr>
      </w:pPr>
      <w:r w:rsidRPr="0089478C">
        <w:rPr>
          <w:b/>
          <w:sz w:val="32"/>
        </w:rPr>
        <w:t>Azienda Ospedaliera ARNAS Civico G.</w:t>
      </w:r>
      <w:r w:rsidR="004810B5">
        <w:rPr>
          <w:b/>
          <w:sz w:val="32"/>
        </w:rPr>
        <w:t xml:space="preserve"> </w:t>
      </w:r>
      <w:r w:rsidRPr="0089478C">
        <w:rPr>
          <w:b/>
          <w:sz w:val="32"/>
        </w:rPr>
        <w:t xml:space="preserve">Di Cristina Benfratelli </w:t>
      </w:r>
    </w:p>
    <w:p w:rsidR="0089478C" w:rsidRPr="0089478C" w:rsidRDefault="0089478C" w:rsidP="0089478C">
      <w:pPr>
        <w:jc w:val="center"/>
        <w:rPr>
          <w:b/>
          <w:sz w:val="32"/>
        </w:rPr>
      </w:pPr>
    </w:p>
    <w:p w:rsidR="0089478C" w:rsidRDefault="0089478C"/>
    <w:p w:rsidR="0089478C" w:rsidRPr="0089478C" w:rsidRDefault="0089478C" w:rsidP="0089478C">
      <w:pPr>
        <w:jc w:val="center"/>
        <w:rPr>
          <w:b/>
          <w:color w:val="0099CC"/>
          <w:sz w:val="36"/>
        </w:rPr>
      </w:pPr>
      <w:r w:rsidRPr="0089478C">
        <w:rPr>
          <w:b/>
          <w:color w:val="0099CC"/>
          <w:sz w:val="36"/>
        </w:rPr>
        <w:t>Piano della Performance</w:t>
      </w:r>
    </w:p>
    <w:p w:rsidR="0089478C" w:rsidRPr="0089478C" w:rsidRDefault="0089478C" w:rsidP="0089478C">
      <w:pPr>
        <w:jc w:val="center"/>
        <w:rPr>
          <w:b/>
          <w:color w:val="0099CC"/>
          <w:sz w:val="36"/>
        </w:rPr>
      </w:pPr>
      <w:r w:rsidRPr="0089478C">
        <w:rPr>
          <w:b/>
          <w:color w:val="0099CC"/>
          <w:sz w:val="36"/>
        </w:rPr>
        <w:t>201</w:t>
      </w:r>
      <w:r w:rsidR="005E070E">
        <w:rPr>
          <w:b/>
          <w:color w:val="0099CC"/>
          <w:sz w:val="36"/>
        </w:rPr>
        <w:t>6</w:t>
      </w:r>
      <w:r w:rsidRPr="0089478C">
        <w:rPr>
          <w:b/>
          <w:color w:val="0099CC"/>
          <w:sz w:val="36"/>
        </w:rPr>
        <w:t>-201</w:t>
      </w:r>
      <w:r w:rsidR="005E070E">
        <w:rPr>
          <w:b/>
          <w:color w:val="0099CC"/>
          <w:sz w:val="36"/>
        </w:rPr>
        <w:t>8</w:t>
      </w:r>
    </w:p>
    <w:p w:rsidR="0089478C" w:rsidRDefault="0089478C"/>
    <w:p w:rsidR="00D61142" w:rsidRDefault="00D61142"/>
    <w:p w:rsidR="0089478C" w:rsidRDefault="0089478C"/>
    <w:p w:rsidR="0089478C" w:rsidRDefault="0089478C"/>
    <w:p w:rsidR="0089478C" w:rsidRDefault="0089478C"/>
    <w:p w:rsidR="0089478C" w:rsidRDefault="0089478C"/>
    <w:p w:rsidR="0089478C" w:rsidRDefault="0089478C"/>
    <w:p w:rsidR="0089478C" w:rsidRDefault="0089478C"/>
    <w:p w:rsidR="0089478C" w:rsidRDefault="0089478C"/>
    <w:p w:rsidR="0089478C" w:rsidRDefault="0089478C"/>
    <w:p w:rsidR="0089478C" w:rsidRDefault="001F4C2D" w:rsidP="001F4C2D">
      <w:pPr>
        <w:jc w:val="center"/>
      </w:pPr>
      <w:r>
        <w:rPr>
          <w:noProof/>
          <w:lang w:eastAsia="it-IT"/>
        </w:rPr>
        <mc:AlternateContent>
          <mc:Choice Requires="wps">
            <w:drawing>
              <wp:anchor distT="0" distB="0" distL="114300" distR="114300" simplePos="0" relativeHeight="251660288" behindDoc="0" locked="0" layoutInCell="1" allowOverlap="1">
                <wp:simplePos x="0" y="0"/>
                <wp:positionH relativeFrom="column">
                  <wp:posOffset>2815942</wp:posOffset>
                </wp:positionH>
                <wp:positionV relativeFrom="paragraph">
                  <wp:posOffset>118143</wp:posOffset>
                </wp:positionV>
                <wp:extent cx="507413" cy="359417"/>
                <wp:effectExtent l="0" t="0" r="6985" b="2540"/>
                <wp:wrapNone/>
                <wp:docPr id="24" name="Rettangolo 24"/>
                <wp:cNvGraphicFramePr/>
                <a:graphic xmlns:a="http://schemas.openxmlformats.org/drawingml/2006/main">
                  <a:graphicData uri="http://schemas.microsoft.com/office/word/2010/wordprocessingShape">
                    <wps:wsp>
                      <wps:cNvSpPr/>
                      <wps:spPr>
                        <a:xfrm>
                          <a:off x="0" y="0"/>
                          <a:ext cx="507413" cy="3594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8AFF5" id="Rettangolo 24" o:spid="_x0000_s1026" style="position:absolute;margin-left:221.75pt;margin-top:9.3pt;width:39.95pt;height:28.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" fillcolor="white [3212]" stroked="f" strokeweight="2pt"/>
            </w:pict>
          </mc:Fallback>
        </mc:AlternateContent>
      </w:r>
    </w:p>
    <w:p w:rsidR="0089478C" w:rsidRPr="0089478C" w:rsidRDefault="0089478C" w:rsidP="0089478C">
      <w:pPr>
        <w:rPr>
          <w:b/>
        </w:rPr>
      </w:pPr>
      <w:r w:rsidRPr="0089478C">
        <w:rPr>
          <w:b/>
        </w:rPr>
        <w:lastRenderedPageBreak/>
        <w:t xml:space="preserve">1. Presentazione del Piano </w:t>
      </w:r>
      <w:r w:rsidR="005E070E">
        <w:rPr>
          <w:b/>
        </w:rPr>
        <w:t>e Indice</w:t>
      </w:r>
    </w:p>
    <w:p w:rsidR="004810B5" w:rsidRDefault="0089478C" w:rsidP="00550A2C">
      <w:pPr>
        <w:contextualSpacing/>
        <w:jc w:val="both"/>
      </w:pPr>
      <w:r>
        <w:t xml:space="preserve">Il D.Lgs. del 27 ottobre 2009, disciplinato in ambito regionale con </w:t>
      </w:r>
      <w:r w:rsidR="00550A2C">
        <w:t xml:space="preserve">il </w:t>
      </w:r>
      <w:r>
        <w:t xml:space="preserve">D.A. 1821/2011, </w:t>
      </w:r>
      <w:r w:rsidR="004810B5">
        <w:t>prevede</w:t>
      </w:r>
      <w:r>
        <w:t xml:space="preserve"> all’articolo 10 che le Aziende pubbliche si dotino di un piano programmatico triennale denominato Piano della Performance, da adottare entro il 31 gennaio di ogni anno</w:t>
      </w:r>
      <w:r w:rsidR="004810B5">
        <w:t>.</w:t>
      </w:r>
    </w:p>
    <w:p w:rsidR="004810B5" w:rsidRDefault="004810B5" w:rsidP="00550A2C">
      <w:pPr>
        <w:contextualSpacing/>
        <w:jc w:val="both"/>
      </w:pPr>
      <w:r>
        <w:t>Il Piano va elaborato</w:t>
      </w:r>
      <w:r w:rsidR="0089478C">
        <w:t xml:space="preserve"> in coerenza con i contenuti e il ciclo della programmazione finanziaria e di bilancio, individua gli indirizzi e gli obiettivi strategici ed operativi </w:t>
      </w:r>
      <w:r w:rsidR="00550A2C">
        <w:t xml:space="preserve">aziendali </w:t>
      </w:r>
      <w:r w:rsidR="0089478C">
        <w:t xml:space="preserve">e definisce gli indicatori per la misurazione e la valutazione della performance dell’azienda. </w:t>
      </w:r>
    </w:p>
    <w:p w:rsidR="0089478C" w:rsidRDefault="0089478C" w:rsidP="00B83EF7">
      <w:pPr>
        <w:contextualSpacing/>
        <w:jc w:val="both"/>
      </w:pPr>
      <w:r>
        <w:t xml:space="preserve">Le linee guida </w:t>
      </w:r>
      <w:r w:rsidR="00550A2C">
        <w:t>di</w:t>
      </w:r>
      <w:r>
        <w:t xml:space="preserve"> riferimento sono quelle fissate con </w:t>
      </w:r>
      <w:r w:rsidR="00B83EF7">
        <w:t>d</w:t>
      </w:r>
      <w:r>
        <w:t xml:space="preserve">elibera n° </w:t>
      </w:r>
      <w:r w:rsidR="00550A2C">
        <w:t>1</w:t>
      </w:r>
      <w:r>
        <w:t>12</w:t>
      </w:r>
      <w:r w:rsidR="00550A2C">
        <w:t>, a</w:t>
      </w:r>
      <w:r>
        <w:t>pprovata</w:t>
      </w:r>
      <w:r>
        <w:tab/>
        <w:t>nella</w:t>
      </w:r>
      <w:r w:rsidR="00550A2C">
        <w:t xml:space="preserve"> </w:t>
      </w:r>
      <w:r>
        <w:t xml:space="preserve">seduta </w:t>
      </w:r>
      <w:r w:rsidR="00550A2C">
        <w:t>d</w:t>
      </w:r>
      <w:r>
        <w:t>el 28</w:t>
      </w:r>
      <w:r w:rsidR="00550A2C">
        <w:t xml:space="preserve"> </w:t>
      </w:r>
      <w:r>
        <w:t>ottobre 2010</w:t>
      </w:r>
      <w:r w:rsidR="00550A2C">
        <w:t xml:space="preserve"> </w:t>
      </w:r>
      <w:r>
        <w:t xml:space="preserve">dalla </w:t>
      </w:r>
      <w:r w:rsidRPr="00B83EF7">
        <w:rPr>
          <w:i/>
        </w:rPr>
        <w:t>Commissione</w:t>
      </w:r>
      <w:r w:rsidR="00550A2C" w:rsidRPr="00B83EF7">
        <w:rPr>
          <w:i/>
        </w:rPr>
        <w:t xml:space="preserve"> </w:t>
      </w:r>
      <w:r w:rsidRPr="00B83EF7">
        <w:rPr>
          <w:i/>
        </w:rPr>
        <w:t xml:space="preserve">per la </w:t>
      </w:r>
      <w:r w:rsidRPr="00B83EF7">
        <w:rPr>
          <w:i/>
        </w:rPr>
        <w:tab/>
        <w:t>Valutazione,</w:t>
      </w:r>
      <w:r w:rsidR="00550A2C" w:rsidRPr="00B83EF7">
        <w:rPr>
          <w:i/>
        </w:rPr>
        <w:t xml:space="preserve"> </w:t>
      </w:r>
      <w:r w:rsidRPr="00B83EF7">
        <w:rPr>
          <w:i/>
        </w:rPr>
        <w:t xml:space="preserve">la </w:t>
      </w:r>
      <w:r w:rsidR="00B83EF7" w:rsidRPr="00B83EF7">
        <w:rPr>
          <w:i/>
        </w:rPr>
        <w:t>T</w:t>
      </w:r>
      <w:r w:rsidRPr="00B83EF7">
        <w:rPr>
          <w:i/>
        </w:rPr>
        <w:t>rasparenza</w:t>
      </w:r>
      <w:r w:rsidR="00550A2C" w:rsidRPr="00B83EF7">
        <w:rPr>
          <w:i/>
        </w:rPr>
        <w:t xml:space="preserve"> </w:t>
      </w:r>
      <w:r w:rsidRPr="00B83EF7">
        <w:rPr>
          <w:i/>
        </w:rPr>
        <w:t>e</w:t>
      </w:r>
      <w:r w:rsidR="00550A2C" w:rsidRPr="00B83EF7">
        <w:rPr>
          <w:i/>
        </w:rPr>
        <w:t xml:space="preserve"> </w:t>
      </w:r>
      <w:r w:rsidRPr="00B83EF7">
        <w:rPr>
          <w:i/>
        </w:rPr>
        <w:t xml:space="preserve">l’Integrità </w:t>
      </w:r>
      <w:r w:rsidR="00550A2C" w:rsidRPr="00B83EF7">
        <w:rPr>
          <w:i/>
        </w:rPr>
        <w:t>d</w:t>
      </w:r>
      <w:r w:rsidRPr="00B83EF7">
        <w:rPr>
          <w:i/>
        </w:rPr>
        <w:t>elle</w:t>
      </w:r>
      <w:r w:rsidR="00550A2C" w:rsidRPr="00B83EF7">
        <w:rPr>
          <w:i/>
        </w:rPr>
        <w:t xml:space="preserve"> </w:t>
      </w:r>
      <w:r w:rsidRPr="00B83EF7">
        <w:rPr>
          <w:i/>
        </w:rPr>
        <w:t>Amministrazioni</w:t>
      </w:r>
      <w:r w:rsidR="00550A2C" w:rsidRPr="00B83EF7">
        <w:rPr>
          <w:i/>
        </w:rPr>
        <w:t xml:space="preserve"> </w:t>
      </w:r>
      <w:r w:rsidRPr="00B83EF7">
        <w:rPr>
          <w:i/>
        </w:rPr>
        <w:t>Pubbliche</w:t>
      </w:r>
      <w:r w:rsidR="00550A2C">
        <w:t xml:space="preserve"> </w:t>
      </w:r>
      <w:r>
        <w:t>(ex CIVIT,</w:t>
      </w:r>
      <w:r w:rsidR="00550A2C">
        <w:t xml:space="preserve"> </w:t>
      </w:r>
      <w:r>
        <w:t>ora</w:t>
      </w:r>
      <w:r w:rsidR="00550A2C">
        <w:t xml:space="preserve"> “Autorità </w:t>
      </w:r>
      <w:r>
        <w:t>Nazionale Anti</w:t>
      </w:r>
      <w:r w:rsidR="00550A2C">
        <w:t>-</w:t>
      </w:r>
      <w:r>
        <w:t>Corruzione e per la valutazione e la trasparenza delle amminist</w:t>
      </w:r>
      <w:r w:rsidR="00550A2C">
        <w:t xml:space="preserve">razioni pubbliche” - A.N.A.C) e </w:t>
      </w:r>
      <w:r>
        <w:t>con delibera n. 1 del 5 gennaio 2012</w:t>
      </w:r>
      <w:r w:rsidR="00B83EF7">
        <w:t>,</w:t>
      </w:r>
      <w:r>
        <w:t xml:space="preserve"> e raccomandano la qualità, la comprensibilità e l’attendibilità dei documenti di rappresentazione della performance. </w:t>
      </w:r>
    </w:p>
    <w:p w:rsidR="0089478C" w:rsidRDefault="0089478C" w:rsidP="009959D2">
      <w:pPr>
        <w:contextualSpacing/>
        <w:jc w:val="both"/>
      </w:pPr>
      <w:r>
        <w:t xml:space="preserve">Il documento è </w:t>
      </w:r>
      <w:r>
        <w:tab/>
        <w:t>predisposto in considerazione dei</w:t>
      </w:r>
      <w:r w:rsidR="00891924">
        <w:t xml:space="preserve"> </w:t>
      </w:r>
      <w:r>
        <w:t>contenuti</w:t>
      </w:r>
      <w:r w:rsidR="00891924">
        <w:t xml:space="preserve"> </w:t>
      </w:r>
      <w:r>
        <w:t>del</w:t>
      </w:r>
      <w:r w:rsidR="00891924">
        <w:t xml:space="preserve"> </w:t>
      </w:r>
      <w:r>
        <w:t xml:space="preserve">Piano Operativo di Consolidamento e Sviluppo (POCS) del SSR, degli obiettivi regionali assegnati di anno </w:t>
      </w:r>
      <w:r w:rsidR="00891924">
        <w:t>i</w:t>
      </w:r>
      <w:r>
        <w:t xml:space="preserve">n </w:t>
      </w:r>
      <w:r w:rsidR="00891924">
        <w:t>a</w:t>
      </w:r>
      <w:r>
        <w:t xml:space="preserve">nno all’azienda, </w:t>
      </w:r>
      <w:r w:rsidR="00891924">
        <w:t>nonché</w:t>
      </w:r>
      <w:r>
        <w:t xml:space="preserve"> degli specifici obiettivi individuati</w:t>
      </w:r>
      <w:r w:rsidR="00891924">
        <w:t xml:space="preserve"> </w:t>
      </w:r>
      <w:r>
        <w:t>autonomamente dall’Azienda</w:t>
      </w:r>
      <w:r w:rsidR="00891924">
        <w:t xml:space="preserve">, </w:t>
      </w:r>
      <w:r>
        <w:t xml:space="preserve">funzionali al conseguimento della </w:t>
      </w:r>
      <w:r w:rsidRPr="00891924">
        <w:rPr>
          <w:i/>
        </w:rPr>
        <w:t>mission</w:t>
      </w:r>
      <w:r w:rsidR="00891924">
        <w:t xml:space="preserve"> </w:t>
      </w:r>
      <w:r>
        <w:t xml:space="preserve">e del proprio mandato istituzionale.  </w:t>
      </w:r>
    </w:p>
    <w:p w:rsidR="005E3F3B" w:rsidRDefault="005E3F3B" w:rsidP="005E3F3B">
      <w:pPr>
        <w:contextualSpacing/>
        <w:jc w:val="both"/>
      </w:pPr>
      <w:r>
        <w:t>Al fine di garantire un approccio globale alle tematiche della trasparenza e della prevenzione della corruzione, il Piano della Performance è coordinato con gli altri strumenti di programmazione aziendale: il Programma Triennale per la Trasparenza e per l’Integrità, il Piano Triennale per la Prevenzione della corruzione ed il Codice Etico Comportamentale.</w:t>
      </w:r>
    </w:p>
    <w:p w:rsidR="005E3F3B" w:rsidRDefault="005E3F3B" w:rsidP="005E3F3B">
      <w:pPr>
        <w:contextualSpacing/>
        <w:jc w:val="both"/>
      </w:pPr>
      <w:r>
        <w:t>La trasparenza è infatti strettamente correlata al concetto di performance poiché l’obbligo di pubblicazione dei dati ha lo scopo di assicurare la conoscenza dell’attività dell’ARNAS tra tutti gli stakeholder e di consentire una più consapevole partecipazione della collettività.</w:t>
      </w:r>
    </w:p>
    <w:p w:rsidR="005E3F3B" w:rsidRDefault="005E3F3B" w:rsidP="005E3F3B">
      <w:pPr>
        <w:contextualSpacing/>
        <w:jc w:val="both"/>
      </w:pPr>
      <w:r>
        <w:t>In particolare, il Programma Triennale per la Trasparenza e per l’Integrità, oltre ad essere uno degli aspetti determinanti della fase di pianificazione strategica all’interno del ciclo della performance, realizza la trasparenza delle informazioni relative alla performance rendendo pubblici agli stakeholder gli outcome e i risultati conseguiti.</w:t>
      </w:r>
    </w:p>
    <w:p w:rsidR="005E3F3B" w:rsidRDefault="005E3F3B" w:rsidP="005E3F3B">
      <w:pPr>
        <w:contextualSpacing/>
        <w:jc w:val="both"/>
      </w:pPr>
      <w:r>
        <w:t>Il Piano Triennale per la Prevenzione della corruzione, a sua volta, è il complesso di misure che l’ARNAS adotta non solo in rapporto alle condizioni oggettive della propria organizzazione, ma anche dei progetti o dei programmi elaborati per il raggiungimento di altre finalità quali la maggiore efficienza complessiva, il risparmio di risorse, la riqualificazione del personale, l’incremento delle capacità tecniche e conoscitive.</w:t>
      </w:r>
    </w:p>
    <w:p w:rsidR="005E3F3B" w:rsidRDefault="005E3F3B" w:rsidP="005E3F3B">
      <w:pPr>
        <w:contextualSpacing/>
        <w:jc w:val="both"/>
      </w:pPr>
      <w:r>
        <w:t>Pertanto, particolare attenzione deve essere posta alla coerenza tra PTPC e Piano della Performance sotto due aspetti:</w:t>
      </w:r>
    </w:p>
    <w:p w:rsidR="005E3F3B" w:rsidRDefault="005E3F3B" w:rsidP="005E3F3B">
      <w:pPr>
        <w:contextualSpacing/>
        <w:jc w:val="both"/>
      </w:pPr>
      <w:r>
        <w:t>- da un lato, le politiche sulla performance contribuiscono alla costruzione di un clima organizzativo che favorisce la prevenzione della corruzione;</w:t>
      </w:r>
    </w:p>
    <w:p w:rsidR="005E3F3B" w:rsidRDefault="005E3F3B" w:rsidP="005E3F3B">
      <w:pPr>
        <w:contextualSpacing/>
        <w:jc w:val="both"/>
      </w:pPr>
      <w:r>
        <w:t>- dall’altro, le misure di prevenzione della corruzione devono essere sempre tradotte in obiettivi organizzativi ed individuali assegnati agli uffici e ai loro dirigenti.</w:t>
      </w:r>
    </w:p>
    <w:p w:rsidR="005E3F3B" w:rsidRDefault="005E3F3B" w:rsidP="005E3F3B">
      <w:pPr>
        <w:contextualSpacing/>
        <w:jc w:val="both"/>
      </w:pPr>
      <w:r>
        <w:t>Ciò agevola l’individuazione di misure ben definite in termini di obiettivi, le rende verificabili e conferma la piena coerenza tra misure anticorruzione e perseguimento della funzionalità amministrativa.</w:t>
      </w:r>
    </w:p>
    <w:p w:rsidR="0089478C" w:rsidRDefault="00DE7304" w:rsidP="009959D2">
      <w:pPr>
        <w:contextualSpacing/>
        <w:jc w:val="both"/>
      </w:pPr>
      <w:r>
        <w:t>I</w:t>
      </w:r>
      <w:r w:rsidR="0089478C">
        <w:t xml:space="preserve">l piano della performance </w:t>
      </w:r>
      <w:r>
        <w:t xml:space="preserve">e la </w:t>
      </w:r>
      <w:r w:rsidR="0089478C">
        <w:t xml:space="preserve">relativa relazione </w:t>
      </w:r>
      <w:r>
        <w:t>vengono regolarmente</w:t>
      </w:r>
      <w:r w:rsidR="0089478C">
        <w:t xml:space="preserve"> trasmessi alla Commissione di cui all’articolo13 del D.Lgs n.150/09</w:t>
      </w:r>
      <w:r>
        <w:t>,</w:t>
      </w:r>
      <w:r w:rsidR="0089478C">
        <w:t xml:space="preserve"> al Ministero dell’Economia e delle Finanze e pubblicati sul sito web ufficiale dell’Azienda.</w:t>
      </w:r>
    </w:p>
    <w:p w:rsidR="005E3F3B" w:rsidRDefault="005E3F3B" w:rsidP="009959D2">
      <w:pPr>
        <w:contextualSpacing/>
        <w:jc w:val="both"/>
      </w:pPr>
    </w:p>
    <w:p w:rsidR="005E3F3B" w:rsidRDefault="005E3F3B" w:rsidP="009959D2">
      <w:pPr>
        <w:contextualSpacing/>
        <w:jc w:val="both"/>
      </w:pPr>
    </w:p>
    <w:tbl>
      <w:tblPr>
        <w:tblW w:w="7800" w:type="dxa"/>
        <w:tblInd w:w="70" w:type="dxa"/>
        <w:tblCellMar>
          <w:left w:w="70" w:type="dxa"/>
          <w:right w:w="70" w:type="dxa"/>
        </w:tblCellMar>
        <w:tblLook w:val="04A0" w:firstRow="1" w:lastRow="0" w:firstColumn="1" w:lastColumn="0" w:noHBand="0" w:noVBand="1"/>
      </w:tblPr>
      <w:tblGrid>
        <w:gridCol w:w="6840"/>
        <w:gridCol w:w="960"/>
      </w:tblGrid>
      <w:tr w:rsidR="003F64A7" w:rsidRPr="003F64A7" w:rsidTr="003F64A7">
        <w:trPr>
          <w:trHeight w:val="540"/>
        </w:trPr>
        <w:tc>
          <w:tcPr>
            <w:tcW w:w="6840" w:type="dxa"/>
            <w:tcBorders>
              <w:top w:val="nil"/>
              <w:left w:val="nil"/>
              <w:bottom w:val="nil"/>
              <w:right w:val="nil"/>
            </w:tcBorders>
            <w:shd w:val="clear" w:color="auto" w:fill="auto"/>
            <w:noWrap/>
            <w:vAlign w:val="bottom"/>
            <w:hideMark/>
          </w:tcPr>
          <w:p w:rsidR="003F64A7" w:rsidRPr="003F64A7" w:rsidRDefault="003F64A7" w:rsidP="003F64A7">
            <w:pPr>
              <w:spacing w:after="0" w:line="240" w:lineRule="auto"/>
              <w:rPr>
                <w:rFonts w:ascii="Calibri" w:eastAsia="Times New Roman" w:hAnsi="Calibri" w:cs="Times New Roman"/>
                <w:b/>
                <w:bCs/>
                <w:color w:val="000000"/>
                <w:sz w:val="20"/>
                <w:szCs w:val="20"/>
                <w:lang w:eastAsia="it-IT"/>
              </w:rPr>
            </w:pPr>
            <w:bookmarkStart w:id="0" w:name="RANGE!B2:C42"/>
            <w:r w:rsidRPr="003F64A7">
              <w:rPr>
                <w:rFonts w:ascii="Calibri" w:eastAsia="Times New Roman" w:hAnsi="Calibri" w:cs="Times New Roman"/>
                <w:b/>
                <w:bCs/>
                <w:color w:val="000000"/>
                <w:sz w:val="20"/>
                <w:szCs w:val="20"/>
                <w:lang w:eastAsia="it-IT"/>
              </w:rPr>
              <w:lastRenderedPageBreak/>
              <w:t>INDICE</w:t>
            </w:r>
            <w:bookmarkEnd w:id="0"/>
          </w:p>
        </w:tc>
        <w:tc>
          <w:tcPr>
            <w:tcW w:w="960" w:type="dxa"/>
            <w:tcBorders>
              <w:top w:val="nil"/>
              <w:left w:val="nil"/>
              <w:bottom w:val="nil"/>
              <w:right w:val="nil"/>
            </w:tcBorders>
            <w:shd w:val="clear" w:color="auto" w:fill="auto"/>
            <w:noWrap/>
            <w:vAlign w:val="bottom"/>
            <w:hideMark/>
          </w:tcPr>
          <w:p w:rsidR="003F64A7" w:rsidRPr="003F64A7" w:rsidRDefault="003F64A7" w:rsidP="003F64A7">
            <w:pPr>
              <w:spacing w:after="0" w:line="240" w:lineRule="auto"/>
              <w:jc w:val="center"/>
              <w:rPr>
                <w:rFonts w:ascii="Calibri" w:eastAsia="Times New Roman" w:hAnsi="Calibri" w:cs="Times New Roman"/>
                <w:b/>
                <w:bCs/>
                <w:color w:val="000000"/>
                <w:sz w:val="20"/>
                <w:szCs w:val="20"/>
                <w:lang w:eastAsia="it-IT"/>
              </w:rPr>
            </w:pPr>
            <w:r w:rsidRPr="003F64A7">
              <w:rPr>
                <w:rFonts w:ascii="Calibri" w:eastAsia="Times New Roman" w:hAnsi="Calibri" w:cs="Times New Roman"/>
                <w:b/>
                <w:bCs/>
                <w:color w:val="000000"/>
                <w:sz w:val="20"/>
                <w:szCs w:val="20"/>
                <w:lang w:eastAsia="it-IT"/>
              </w:rPr>
              <w:t>pag</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color w:val="000000"/>
                <w:sz w:val="20"/>
                <w:szCs w:val="20"/>
                <w:lang w:eastAsia="it-IT"/>
              </w:rPr>
            </w:pPr>
            <w:r w:rsidRPr="003F64A7">
              <w:rPr>
                <w:rFonts w:ascii="Calibri" w:eastAsia="Times New Roman" w:hAnsi="Calibri" w:cs="Times New Roman"/>
                <w:b/>
                <w:bCs/>
                <w:color w:val="000000"/>
                <w:sz w:val="20"/>
                <w:szCs w:val="20"/>
                <w:lang w:eastAsia="it-IT"/>
              </w:rPr>
              <w:t xml:space="preserve">1. Presentazione del Piano  </w:t>
            </w:r>
            <w:r>
              <w:rPr>
                <w:rFonts w:ascii="Calibri" w:eastAsia="Times New Roman" w:hAnsi="Calibri" w:cs="Times New Roman"/>
                <w:b/>
                <w:bCs/>
                <w:color w:val="000000"/>
                <w:sz w:val="20"/>
                <w:szCs w:val="20"/>
                <w:lang w:eastAsia="it-IT"/>
              </w:rPr>
              <w:t>e Indice</w:t>
            </w:r>
          </w:p>
        </w:tc>
        <w:tc>
          <w:tcPr>
            <w:tcW w:w="96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color w:val="000000"/>
                <w:sz w:val="20"/>
                <w:szCs w:val="20"/>
                <w:lang w:eastAsia="it-IT"/>
              </w:rPr>
            </w:pPr>
            <w:r w:rsidRPr="003F64A7">
              <w:rPr>
                <w:rFonts w:ascii="Calibri" w:eastAsia="Times New Roman" w:hAnsi="Calibri" w:cs="Times New Roman"/>
                <w:b/>
                <w:bCs/>
                <w:color w:val="000000"/>
                <w:sz w:val="20"/>
                <w:szCs w:val="20"/>
                <w:lang w:eastAsia="it-IT"/>
              </w:rPr>
              <w:t xml:space="preserve">2. Sintesi delle informazioni di interesse per i cittadini e gli stakeholder esterni </w:t>
            </w:r>
          </w:p>
        </w:tc>
        <w:tc>
          <w:tcPr>
            <w:tcW w:w="96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center"/>
              <w:rPr>
                <w:rFonts w:ascii="Calibri" w:eastAsia="Times New Roman" w:hAnsi="Calibri" w:cs="Times New Roman"/>
                <w:color w:val="000000"/>
                <w:sz w:val="20"/>
                <w:szCs w:val="20"/>
                <w:lang w:eastAsia="it-IT"/>
              </w:rPr>
            </w:pPr>
            <w:r w:rsidRPr="003F64A7">
              <w:rPr>
                <w:rFonts w:ascii="Calibri" w:eastAsia="Times New Roman" w:hAnsi="Calibri" w:cs="Times New Roman"/>
                <w:color w:val="000000"/>
                <w:sz w:val="20"/>
                <w:szCs w:val="20"/>
                <w:lang w:eastAsia="it-IT"/>
              </w:rPr>
              <w:t>2</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 xml:space="preserve">2.1 Chi siamo </w:t>
            </w:r>
          </w:p>
        </w:tc>
        <w:tc>
          <w:tcPr>
            <w:tcW w:w="96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center"/>
              <w:rPr>
                <w:rFonts w:ascii="Calibri" w:eastAsia="Times New Roman" w:hAnsi="Calibri" w:cs="Times New Roman"/>
                <w:color w:val="000000"/>
                <w:sz w:val="20"/>
                <w:szCs w:val="20"/>
                <w:lang w:eastAsia="it-IT"/>
              </w:rPr>
            </w:pPr>
            <w:r w:rsidRPr="003F64A7">
              <w:rPr>
                <w:rFonts w:ascii="Calibri" w:eastAsia="Times New Roman" w:hAnsi="Calibri" w:cs="Times New Roman"/>
                <w:color w:val="000000"/>
                <w:sz w:val="20"/>
                <w:szCs w:val="20"/>
                <w:lang w:eastAsia="it-IT"/>
              </w:rPr>
              <w:t>2</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 xml:space="preserve">2.2 Cosa facciamo </w:t>
            </w:r>
          </w:p>
        </w:tc>
        <w:tc>
          <w:tcPr>
            <w:tcW w:w="96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center"/>
              <w:rPr>
                <w:rFonts w:ascii="Calibri" w:eastAsia="Times New Roman" w:hAnsi="Calibri" w:cs="Times New Roman"/>
                <w:color w:val="000000"/>
                <w:sz w:val="20"/>
                <w:szCs w:val="20"/>
                <w:lang w:eastAsia="it-IT"/>
              </w:rPr>
            </w:pPr>
            <w:r w:rsidRPr="003F64A7">
              <w:rPr>
                <w:rFonts w:ascii="Calibri" w:eastAsia="Times New Roman" w:hAnsi="Calibri" w:cs="Times New Roman"/>
                <w:color w:val="000000"/>
                <w:sz w:val="20"/>
                <w:szCs w:val="20"/>
                <w:lang w:eastAsia="it-IT"/>
              </w:rPr>
              <w:t>3</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 xml:space="preserve">2.3 Come operiamo </w:t>
            </w:r>
          </w:p>
        </w:tc>
        <w:tc>
          <w:tcPr>
            <w:tcW w:w="960" w:type="dxa"/>
            <w:tcBorders>
              <w:top w:val="nil"/>
              <w:left w:val="nil"/>
              <w:bottom w:val="nil"/>
              <w:right w:val="nil"/>
            </w:tcBorders>
            <w:shd w:val="clear" w:color="auto" w:fill="auto"/>
            <w:vAlign w:val="center"/>
            <w:hideMark/>
          </w:tcPr>
          <w:p w:rsidR="003F64A7" w:rsidRPr="003F64A7" w:rsidRDefault="00EC6429"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4</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both"/>
              <w:rPr>
                <w:rFonts w:ascii="Calibri" w:eastAsia="Times New Roman" w:hAnsi="Calibri" w:cs="Times New Roman"/>
                <w:b/>
                <w:bCs/>
                <w:color w:val="000000"/>
                <w:sz w:val="20"/>
                <w:szCs w:val="20"/>
                <w:lang w:eastAsia="it-IT"/>
              </w:rPr>
            </w:pPr>
            <w:r w:rsidRPr="003F64A7">
              <w:rPr>
                <w:rFonts w:ascii="Calibri" w:eastAsia="Times New Roman" w:hAnsi="Calibri" w:cs="Times New Roman"/>
                <w:b/>
                <w:bCs/>
                <w:color w:val="000000"/>
                <w:sz w:val="20"/>
                <w:szCs w:val="20"/>
                <w:lang w:eastAsia="it-IT"/>
              </w:rPr>
              <w:t xml:space="preserve">3. Identità </w:t>
            </w:r>
          </w:p>
        </w:tc>
        <w:tc>
          <w:tcPr>
            <w:tcW w:w="960" w:type="dxa"/>
            <w:tcBorders>
              <w:top w:val="nil"/>
              <w:left w:val="nil"/>
              <w:bottom w:val="nil"/>
              <w:right w:val="nil"/>
            </w:tcBorders>
            <w:shd w:val="clear" w:color="auto" w:fill="auto"/>
            <w:vAlign w:val="center"/>
            <w:hideMark/>
          </w:tcPr>
          <w:p w:rsidR="003F64A7" w:rsidRPr="003F64A7" w:rsidRDefault="00EC6429"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5</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 xml:space="preserve">3.1 L’amministrazione in cifre </w:t>
            </w:r>
          </w:p>
        </w:tc>
        <w:tc>
          <w:tcPr>
            <w:tcW w:w="960" w:type="dxa"/>
            <w:tcBorders>
              <w:top w:val="nil"/>
              <w:left w:val="nil"/>
              <w:bottom w:val="nil"/>
              <w:right w:val="nil"/>
            </w:tcBorders>
            <w:shd w:val="clear" w:color="auto" w:fill="auto"/>
            <w:vAlign w:val="center"/>
            <w:hideMark/>
          </w:tcPr>
          <w:p w:rsidR="003F64A7" w:rsidRPr="003F64A7" w:rsidRDefault="00EC6429"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5</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 xml:space="preserve">La situazione finanziaria </w:t>
            </w:r>
          </w:p>
        </w:tc>
        <w:tc>
          <w:tcPr>
            <w:tcW w:w="960" w:type="dxa"/>
            <w:tcBorders>
              <w:top w:val="nil"/>
              <w:left w:val="nil"/>
              <w:bottom w:val="nil"/>
              <w:right w:val="nil"/>
            </w:tcBorders>
            <w:shd w:val="clear" w:color="auto" w:fill="auto"/>
            <w:vAlign w:val="center"/>
            <w:hideMark/>
          </w:tcPr>
          <w:p w:rsidR="003F64A7" w:rsidRPr="003F64A7" w:rsidRDefault="00E37306"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9</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3.2. Mandato Istituzionale e Missione</w:t>
            </w:r>
          </w:p>
        </w:tc>
        <w:tc>
          <w:tcPr>
            <w:tcW w:w="960" w:type="dxa"/>
            <w:tcBorders>
              <w:top w:val="nil"/>
              <w:left w:val="nil"/>
              <w:bottom w:val="nil"/>
              <w:right w:val="nil"/>
            </w:tcBorders>
            <w:shd w:val="clear" w:color="auto" w:fill="auto"/>
            <w:vAlign w:val="center"/>
            <w:hideMark/>
          </w:tcPr>
          <w:p w:rsidR="003F64A7" w:rsidRPr="003F64A7" w:rsidRDefault="00FD1963" w:rsidP="00FD1963">
            <w:pPr>
              <w:spacing w:after="0" w:line="240" w:lineRule="auto"/>
              <w:jc w:val="center"/>
              <w:rPr>
                <w:rFonts w:ascii="Calibri" w:eastAsia="Times New Roman" w:hAnsi="Calibri" w:cs="Times New Roman"/>
                <w:b/>
                <w:bCs/>
                <w:i/>
                <w:iCs/>
                <w:color w:val="0070C0"/>
                <w:sz w:val="20"/>
                <w:szCs w:val="20"/>
                <w:lang w:eastAsia="it-IT"/>
              </w:rPr>
            </w:pPr>
            <w:r>
              <w:rPr>
                <w:rFonts w:ascii="Calibri" w:eastAsia="Times New Roman" w:hAnsi="Calibri" w:cs="Times New Roman"/>
                <w:b/>
                <w:bCs/>
                <w:i/>
                <w:iCs/>
                <w:color w:val="0070C0"/>
                <w:sz w:val="20"/>
                <w:szCs w:val="20"/>
                <w:lang w:eastAsia="it-IT"/>
              </w:rPr>
              <w:t xml:space="preserve"> </w:t>
            </w:r>
            <w:r w:rsidRPr="00FD1963">
              <w:rPr>
                <w:rFonts w:ascii="Calibri" w:eastAsia="Times New Roman" w:hAnsi="Calibri" w:cs="Times New Roman"/>
                <w:color w:val="000000"/>
                <w:sz w:val="20"/>
                <w:szCs w:val="20"/>
                <w:lang w:eastAsia="it-IT"/>
              </w:rPr>
              <w:t>9</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 xml:space="preserve">3.3. L’Albero della performance </w:t>
            </w:r>
          </w:p>
        </w:tc>
        <w:tc>
          <w:tcPr>
            <w:tcW w:w="960" w:type="dxa"/>
            <w:tcBorders>
              <w:top w:val="nil"/>
              <w:left w:val="nil"/>
              <w:bottom w:val="nil"/>
              <w:right w:val="nil"/>
            </w:tcBorders>
            <w:shd w:val="clear" w:color="auto" w:fill="auto"/>
            <w:vAlign w:val="center"/>
            <w:hideMark/>
          </w:tcPr>
          <w:p w:rsidR="003F64A7" w:rsidRPr="003F64A7" w:rsidRDefault="00534233" w:rsidP="00FD1963">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w:t>
            </w:r>
            <w:r w:rsidR="00FD1963">
              <w:rPr>
                <w:rFonts w:ascii="Calibri" w:eastAsia="Times New Roman" w:hAnsi="Calibri" w:cs="Times New Roman"/>
                <w:color w:val="000000"/>
                <w:sz w:val="20"/>
                <w:szCs w:val="20"/>
                <w:lang w:eastAsia="it-IT"/>
              </w:rPr>
              <w:t>1</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Il Direttore Generale</w:t>
            </w:r>
          </w:p>
        </w:tc>
        <w:tc>
          <w:tcPr>
            <w:tcW w:w="960" w:type="dxa"/>
            <w:tcBorders>
              <w:top w:val="nil"/>
              <w:left w:val="nil"/>
              <w:bottom w:val="nil"/>
              <w:right w:val="nil"/>
            </w:tcBorders>
            <w:shd w:val="clear" w:color="auto" w:fill="auto"/>
            <w:vAlign w:val="center"/>
            <w:hideMark/>
          </w:tcPr>
          <w:p w:rsidR="003F64A7" w:rsidRPr="003F64A7" w:rsidRDefault="0053423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11</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Il Collegio Sindacale</w:t>
            </w:r>
          </w:p>
        </w:tc>
        <w:tc>
          <w:tcPr>
            <w:tcW w:w="960" w:type="dxa"/>
            <w:tcBorders>
              <w:top w:val="nil"/>
              <w:left w:val="nil"/>
              <w:bottom w:val="nil"/>
              <w:right w:val="nil"/>
            </w:tcBorders>
            <w:shd w:val="clear" w:color="auto" w:fill="auto"/>
            <w:vAlign w:val="center"/>
            <w:hideMark/>
          </w:tcPr>
          <w:p w:rsidR="003F64A7" w:rsidRPr="003F64A7" w:rsidRDefault="0053423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12</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Il Collegio di Direzione</w:t>
            </w:r>
          </w:p>
        </w:tc>
        <w:tc>
          <w:tcPr>
            <w:tcW w:w="960" w:type="dxa"/>
            <w:tcBorders>
              <w:top w:val="nil"/>
              <w:left w:val="nil"/>
              <w:bottom w:val="nil"/>
              <w:right w:val="nil"/>
            </w:tcBorders>
            <w:shd w:val="clear" w:color="auto" w:fill="auto"/>
            <w:vAlign w:val="center"/>
            <w:hideMark/>
          </w:tcPr>
          <w:p w:rsidR="003F64A7" w:rsidRPr="003F64A7" w:rsidRDefault="0053423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12</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Il Direttore Amministrativo</w:t>
            </w:r>
          </w:p>
        </w:tc>
        <w:tc>
          <w:tcPr>
            <w:tcW w:w="960" w:type="dxa"/>
            <w:tcBorders>
              <w:top w:val="nil"/>
              <w:left w:val="nil"/>
              <w:bottom w:val="nil"/>
              <w:right w:val="nil"/>
            </w:tcBorders>
            <w:shd w:val="clear" w:color="auto" w:fill="auto"/>
            <w:vAlign w:val="center"/>
            <w:hideMark/>
          </w:tcPr>
          <w:p w:rsidR="003F64A7" w:rsidRPr="003F64A7" w:rsidRDefault="0053423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12</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Il Direttore Sanitario</w:t>
            </w:r>
          </w:p>
        </w:tc>
        <w:tc>
          <w:tcPr>
            <w:tcW w:w="960" w:type="dxa"/>
            <w:tcBorders>
              <w:top w:val="nil"/>
              <w:left w:val="nil"/>
              <w:bottom w:val="nil"/>
              <w:right w:val="nil"/>
            </w:tcBorders>
            <w:shd w:val="clear" w:color="auto" w:fill="auto"/>
            <w:vAlign w:val="center"/>
            <w:hideMark/>
          </w:tcPr>
          <w:p w:rsidR="003F64A7" w:rsidRPr="003F64A7" w:rsidRDefault="0053423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13</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Lo Staff della Direzione Aziendale</w:t>
            </w:r>
          </w:p>
        </w:tc>
        <w:tc>
          <w:tcPr>
            <w:tcW w:w="960" w:type="dxa"/>
            <w:tcBorders>
              <w:top w:val="nil"/>
              <w:left w:val="nil"/>
              <w:bottom w:val="nil"/>
              <w:right w:val="nil"/>
            </w:tcBorders>
            <w:shd w:val="clear" w:color="auto" w:fill="auto"/>
            <w:vAlign w:val="center"/>
            <w:hideMark/>
          </w:tcPr>
          <w:p w:rsidR="003F64A7" w:rsidRPr="003F64A7" w:rsidRDefault="0053423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14</w:t>
            </w:r>
          </w:p>
        </w:tc>
      </w:tr>
      <w:tr w:rsidR="003F64A7" w:rsidRPr="003F64A7" w:rsidTr="003F64A7">
        <w:trPr>
          <w:trHeight w:val="390"/>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Il Dipartimento</w:t>
            </w:r>
          </w:p>
        </w:tc>
        <w:tc>
          <w:tcPr>
            <w:tcW w:w="960" w:type="dxa"/>
            <w:tcBorders>
              <w:top w:val="nil"/>
              <w:left w:val="nil"/>
              <w:bottom w:val="nil"/>
              <w:right w:val="nil"/>
            </w:tcBorders>
            <w:shd w:val="clear" w:color="auto" w:fill="auto"/>
            <w:vAlign w:val="center"/>
            <w:hideMark/>
          </w:tcPr>
          <w:p w:rsidR="003F64A7" w:rsidRPr="003F64A7" w:rsidRDefault="0053423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14</w:t>
            </w:r>
          </w:p>
        </w:tc>
      </w:tr>
      <w:tr w:rsidR="003F64A7" w:rsidRPr="003F64A7" w:rsidTr="003F64A7">
        <w:trPr>
          <w:trHeight w:val="375"/>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both"/>
              <w:rPr>
                <w:rFonts w:ascii="Calibri" w:eastAsia="Times New Roman" w:hAnsi="Calibri" w:cs="Times New Roman"/>
                <w:b/>
                <w:bCs/>
                <w:color w:val="000000"/>
                <w:sz w:val="20"/>
                <w:szCs w:val="20"/>
                <w:lang w:eastAsia="it-IT"/>
              </w:rPr>
            </w:pPr>
            <w:r w:rsidRPr="003F64A7">
              <w:rPr>
                <w:rFonts w:ascii="Calibri" w:eastAsia="Times New Roman" w:hAnsi="Calibri" w:cs="Times New Roman"/>
                <w:b/>
                <w:bCs/>
                <w:color w:val="000000"/>
                <w:sz w:val="20"/>
                <w:szCs w:val="20"/>
                <w:lang w:eastAsia="it-IT"/>
              </w:rPr>
              <w:t xml:space="preserve">4. Analisi del contesto </w:t>
            </w:r>
          </w:p>
        </w:tc>
        <w:tc>
          <w:tcPr>
            <w:tcW w:w="960" w:type="dxa"/>
            <w:tcBorders>
              <w:top w:val="nil"/>
              <w:left w:val="nil"/>
              <w:bottom w:val="nil"/>
              <w:right w:val="nil"/>
            </w:tcBorders>
            <w:shd w:val="clear" w:color="auto" w:fill="auto"/>
            <w:vAlign w:val="center"/>
            <w:hideMark/>
          </w:tcPr>
          <w:p w:rsidR="003F64A7" w:rsidRPr="003F64A7" w:rsidRDefault="00FD196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17</w:t>
            </w:r>
          </w:p>
        </w:tc>
      </w:tr>
      <w:tr w:rsidR="003F64A7" w:rsidRPr="003F64A7" w:rsidTr="003F64A7">
        <w:trPr>
          <w:trHeight w:val="375"/>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 xml:space="preserve">4.1 Analisi del contesto esterno </w:t>
            </w:r>
          </w:p>
        </w:tc>
        <w:tc>
          <w:tcPr>
            <w:tcW w:w="960" w:type="dxa"/>
            <w:tcBorders>
              <w:top w:val="nil"/>
              <w:left w:val="nil"/>
              <w:bottom w:val="nil"/>
              <w:right w:val="nil"/>
            </w:tcBorders>
            <w:shd w:val="clear" w:color="auto" w:fill="auto"/>
            <w:vAlign w:val="center"/>
            <w:hideMark/>
          </w:tcPr>
          <w:p w:rsidR="003F64A7" w:rsidRPr="003F64A7" w:rsidRDefault="00FD196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17</w:t>
            </w:r>
          </w:p>
        </w:tc>
      </w:tr>
      <w:tr w:rsidR="003F64A7" w:rsidRPr="003F64A7" w:rsidTr="003F64A7">
        <w:trPr>
          <w:trHeight w:val="375"/>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 xml:space="preserve">4.2 Analisi del contesto interno </w:t>
            </w:r>
          </w:p>
        </w:tc>
        <w:tc>
          <w:tcPr>
            <w:tcW w:w="960" w:type="dxa"/>
            <w:tcBorders>
              <w:top w:val="nil"/>
              <w:left w:val="nil"/>
              <w:bottom w:val="nil"/>
              <w:right w:val="nil"/>
            </w:tcBorders>
            <w:shd w:val="clear" w:color="auto" w:fill="auto"/>
            <w:vAlign w:val="center"/>
            <w:hideMark/>
          </w:tcPr>
          <w:p w:rsidR="003F64A7" w:rsidRPr="003F64A7" w:rsidRDefault="00FD196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18</w:t>
            </w:r>
          </w:p>
        </w:tc>
      </w:tr>
      <w:tr w:rsidR="003F64A7" w:rsidRPr="003F64A7" w:rsidTr="003F64A7">
        <w:trPr>
          <w:trHeight w:val="375"/>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2060"/>
                <w:sz w:val="20"/>
                <w:szCs w:val="20"/>
                <w:lang w:eastAsia="it-IT"/>
              </w:rPr>
            </w:pPr>
            <w:r w:rsidRPr="003F64A7">
              <w:rPr>
                <w:rFonts w:ascii="Calibri" w:eastAsia="Times New Roman" w:hAnsi="Calibri" w:cs="Times New Roman"/>
                <w:b/>
                <w:bCs/>
                <w:color w:val="002060"/>
                <w:sz w:val="20"/>
                <w:szCs w:val="20"/>
                <w:lang w:eastAsia="it-IT"/>
              </w:rPr>
              <w:t>Punti di Forza</w:t>
            </w:r>
          </w:p>
        </w:tc>
        <w:tc>
          <w:tcPr>
            <w:tcW w:w="960" w:type="dxa"/>
            <w:tcBorders>
              <w:top w:val="nil"/>
              <w:left w:val="nil"/>
              <w:bottom w:val="nil"/>
              <w:right w:val="nil"/>
            </w:tcBorders>
            <w:shd w:val="clear" w:color="auto" w:fill="auto"/>
            <w:vAlign w:val="center"/>
            <w:hideMark/>
          </w:tcPr>
          <w:p w:rsidR="003F64A7" w:rsidRPr="003F64A7" w:rsidRDefault="00FD196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19</w:t>
            </w:r>
          </w:p>
        </w:tc>
      </w:tr>
      <w:tr w:rsidR="003F64A7" w:rsidRPr="003F64A7" w:rsidTr="003F64A7">
        <w:trPr>
          <w:trHeight w:val="375"/>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2060"/>
                <w:sz w:val="20"/>
                <w:szCs w:val="20"/>
                <w:lang w:eastAsia="it-IT"/>
              </w:rPr>
            </w:pPr>
            <w:r w:rsidRPr="003F64A7">
              <w:rPr>
                <w:rFonts w:ascii="Calibri" w:eastAsia="Times New Roman" w:hAnsi="Calibri" w:cs="Times New Roman"/>
                <w:b/>
                <w:bCs/>
                <w:color w:val="002060"/>
                <w:sz w:val="20"/>
                <w:szCs w:val="20"/>
                <w:lang w:eastAsia="it-IT"/>
              </w:rPr>
              <w:t>Punti di Debolezza</w:t>
            </w:r>
          </w:p>
        </w:tc>
        <w:tc>
          <w:tcPr>
            <w:tcW w:w="960" w:type="dxa"/>
            <w:tcBorders>
              <w:top w:val="nil"/>
              <w:left w:val="nil"/>
              <w:bottom w:val="nil"/>
              <w:right w:val="nil"/>
            </w:tcBorders>
            <w:shd w:val="clear" w:color="auto" w:fill="auto"/>
            <w:vAlign w:val="center"/>
            <w:hideMark/>
          </w:tcPr>
          <w:p w:rsidR="003F64A7" w:rsidRPr="003F64A7" w:rsidRDefault="00FD196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19</w:t>
            </w:r>
          </w:p>
        </w:tc>
      </w:tr>
      <w:tr w:rsidR="003F64A7" w:rsidRPr="003F64A7" w:rsidTr="003F64A7">
        <w:trPr>
          <w:trHeight w:val="375"/>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both"/>
              <w:rPr>
                <w:rFonts w:ascii="Calibri" w:eastAsia="Times New Roman" w:hAnsi="Calibri" w:cs="Times New Roman"/>
                <w:b/>
                <w:bCs/>
                <w:color w:val="000000"/>
                <w:sz w:val="20"/>
                <w:szCs w:val="20"/>
                <w:lang w:eastAsia="it-IT"/>
              </w:rPr>
            </w:pPr>
            <w:r w:rsidRPr="003F64A7">
              <w:rPr>
                <w:rFonts w:ascii="Calibri" w:eastAsia="Times New Roman" w:hAnsi="Calibri" w:cs="Times New Roman"/>
                <w:b/>
                <w:bCs/>
                <w:color w:val="000000"/>
                <w:sz w:val="20"/>
                <w:szCs w:val="20"/>
                <w:lang w:eastAsia="it-IT"/>
              </w:rPr>
              <w:t xml:space="preserve">5.Obiettivi Strategici </w:t>
            </w:r>
          </w:p>
        </w:tc>
        <w:tc>
          <w:tcPr>
            <w:tcW w:w="960" w:type="dxa"/>
            <w:tcBorders>
              <w:top w:val="nil"/>
              <w:left w:val="nil"/>
              <w:bottom w:val="nil"/>
              <w:right w:val="nil"/>
            </w:tcBorders>
            <w:shd w:val="clear" w:color="auto" w:fill="auto"/>
            <w:vAlign w:val="center"/>
            <w:hideMark/>
          </w:tcPr>
          <w:p w:rsidR="003F64A7" w:rsidRPr="003F64A7" w:rsidRDefault="003F64A7" w:rsidP="00A61ABF">
            <w:pPr>
              <w:spacing w:after="0" w:line="240" w:lineRule="auto"/>
              <w:jc w:val="center"/>
              <w:rPr>
                <w:rFonts w:ascii="Calibri" w:eastAsia="Times New Roman" w:hAnsi="Calibri" w:cs="Times New Roman"/>
                <w:color w:val="000000"/>
                <w:sz w:val="20"/>
                <w:szCs w:val="20"/>
                <w:lang w:eastAsia="it-IT"/>
              </w:rPr>
            </w:pPr>
            <w:r w:rsidRPr="003F64A7">
              <w:rPr>
                <w:rFonts w:ascii="Calibri" w:eastAsia="Times New Roman" w:hAnsi="Calibri" w:cs="Times New Roman"/>
                <w:color w:val="000000"/>
                <w:sz w:val="20"/>
                <w:szCs w:val="20"/>
                <w:lang w:eastAsia="it-IT"/>
              </w:rPr>
              <w:t>1</w:t>
            </w:r>
            <w:r w:rsidR="00FD1963">
              <w:rPr>
                <w:rFonts w:ascii="Calibri" w:eastAsia="Times New Roman" w:hAnsi="Calibri" w:cs="Times New Roman"/>
                <w:color w:val="000000"/>
                <w:sz w:val="20"/>
                <w:szCs w:val="20"/>
                <w:lang w:eastAsia="it-IT"/>
              </w:rPr>
              <w:t>9</w:t>
            </w:r>
          </w:p>
        </w:tc>
      </w:tr>
      <w:tr w:rsidR="003F64A7" w:rsidRPr="003F64A7" w:rsidTr="003F64A7">
        <w:trPr>
          <w:trHeight w:val="375"/>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both"/>
              <w:rPr>
                <w:rFonts w:ascii="Calibri" w:eastAsia="Times New Roman" w:hAnsi="Calibri" w:cs="Times New Roman"/>
                <w:b/>
                <w:bCs/>
                <w:color w:val="000000"/>
                <w:sz w:val="20"/>
                <w:szCs w:val="20"/>
                <w:lang w:eastAsia="it-IT"/>
              </w:rPr>
            </w:pPr>
            <w:r w:rsidRPr="003F64A7">
              <w:rPr>
                <w:rFonts w:ascii="Calibri" w:eastAsia="Times New Roman" w:hAnsi="Calibri" w:cs="Times New Roman"/>
                <w:b/>
                <w:bCs/>
                <w:color w:val="000000"/>
                <w:sz w:val="20"/>
                <w:szCs w:val="20"/>
                <w:lang w:eastAsia="it-IT"/>
              </w:rPr>
              <w:t>6.Dagli obiettivi Strategici agli Obiettivi Operativi</w:t>
            </w:r>
          </w:p>
        </w:tc>
        <w:tc>
          <w:tcPr>
            <w:tcW w:w="960" w:type="dxa"/>
            <w:tcBorders>
              <w:top w:val="nil"/>
              <w:left w:val="nil"/>
              <w:bottom w:val="nil"/>
              <w:right w:val="nil"/>
            </w:tcBorders>
            <w:shd w:val="clear" w:color="auto" w:fill="auto"/>
            <w:vAlign w:val="center"/>
            <w:hideMark/>
          </w:tcPr>
          <w:p w:rsidR="003F64A7" w:rsidRPr="00C41F78" w:rsidRDefault="00C41F78" w:rsidP="003F64A7">
            <w:pPr>
              <w:spacing w:after="0" w:line="240" w:lineRule="auto"/>
              <w:jc w:val="both"/>
              <w:rPr>
                <w:rFonts w:ascii="Calibri" w:eastAsia="Times New Roman" w:hAnsi="Calibri" w:cs="Times New Roman"/>
                <w:bCs/>
                <w:color w:val="000000"/>
                <w:sz w:val="20"/>
                <w:szCs w:val="20"/>
                <w:lang w:eastAsia="it-IT"/>
              </w:rPr>
            </w:pPr>
            <w:r>
              <w:rPr>
                <w:rFonts w:ascii="Calibri" w:eastAsia="Times New Roman" w:hAnsi="Calibri" w:cs="Times New Roman"/>
                <w:b/>
                <w:bCs/>
                <w:color w:val="000000"/>
                <w:sz w:val="20"/>
                <w:szCs w:val="20"/>
                <w:lang w:eastAsia="it-IT"/>
              </w:rPr>
              <w:t xml:space="preserve">       </w:t>
            </w:r>
            <w:r w:rsidR="00FD1963">
              <w:rPr>
                <w:rFonts w:ascii="Calibri" w:eastAsia="Times New Roman" w:hAnsi="Calibri" w:cs="Times New Roman"/>
                <w:bCs/>
                <w:color w:val="000000"/>
                <w:sz w:val="20"/>
                <w:szCs w:val="20"/>
                <w:lang w:eastAsia="it-IT"/>
              </w:rPr>
              <w:t>23</w:t>
            </w:r>
          </w:p>
        </w:tc>
      </w:tr>
      <w:tr w:rsidR="003F64A7" w:rsidRPr="003F64A7" w:rsidTr="003F64A7">
        <w:trPr>
          <w:trHeight w:val="375"/>
        </w:trPr>
        <w:tc>
          <w:tcPr>
            <w:tcW w:w="6840" w:type="dxa"/>
            <w:tcBorders>
              <w:top w:val="nil"/>
              <w:left w:val="nil"/>
              <w:bottom w:val="nil"/>
              <w:right w:val="nil"/>
            </w:tcBorders>
            <w:shd w:val="clear" w:color="auto" w:fill="auto"/>
            <w:noWrap/>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6.1 Obiettivi assegnati al personale dirigenziale</w:t>
            </w:r>
          </w:p>
        </w:tc>
        <w:tc>
          <w:tcPr>
            <w:tcW w:w="960" w:type="dxa"/>
            <w:tcBorders>
              <w:top w:val="nil"/>
              <w:left w:val="nil"/>
              <w:bottom w:val="nil"/>
              <w:right w:val="nil"/>
            </w:tcBorders>
            <w:shd w:val="clear" w:color="auto" w:fill="auto"/>
            <w:vAlign w:val="center"/>
            <w:hideMark/>
          </w:tcPr>
          <w:p w:rsidR="003F64A7" w:rsidRPr="003F64A7" w:rsidRDefault="00FD196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25</w:t>
            </w:r>
          </w:p>
        </w:tc>
      </w:tr>
      <w:tr w:rsidR="003F64A7" w:rsidRPr="003F64A7" w:rsidTr="003F64A7">
        <w:trPr>
          <w:trHeight w:val="375"/>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2060"/>
                <w:sz w:val="20"/>
                <w:szCs w:val="20"/>
                <w:lang w:eastAsia="it-IT"/>
              </w:rPr>
            </w:pPr>
            <w:r w:rsidRPr="003F64A7">
              <w:rPr>
                <w:rFonts w:ascii="Calibri" w:eastAsia="Times New Roman" w:hAnsi="Calibri" w:cs="Times New Roman"/>
                <w:b/>
                <w:bCs/>
                <w:color w:val="002060"/>
                <w:sz w:val="20"/>
                <w:szCs w:val="20"/>
                <w:lang w:eastAsia="it-IT"/>
              </w:rPr>
              <w:t>Principali Obiettivi delle UUOO Sanitarie</w:t>
            </w:r>
          </w:p>
        </w:tc>
        <w:tc>
          <w:tcPr>
            <w:tcW w:w="960" w:type="dxa"/>
            <w:tcBorders>
              <w:top w:val="nil"/>
              <w:left w:val="nil"/>
              <w:bottom w:val="nil"/>
              <w:right w:val="nil"/>
            </w:tcBorders>
            <w:shd w:val="clear" w:color="auto" w:fill="auto"/>
            <w:vAlign w:val="center"/>
            <w:hideMark/>
          </w:tcPr>
          <w:p w:rsidR="003F64A7" w:rsidRPr="003F64A7" w:rsidRDefault="003F64A7" w:rsidP="00913922">
            <w:pPr>
              <w:spacing w:after="0" w:line="240" w:lineRule="auto"/>
              <w:jc w:val="center"/>
              <w:rPr>
                <w:rFonts w:ascii="Calibri" w:eastAsia="Times New Roman" w:hAnsi="Calibri" w:cs="Times New Roman"/>
                <w:color w:val="000000"/>
                <w:sz w:val="20"/>
                <w:szCs w:val="20"/>
                <w:lang w:eastAsia="it-IT"/>
              </w:rPr>
            </w:pPr>
            <w:r w:rsidRPr="003F64A7">
              <w:rPr>
                <w:rFonts w:ascii="Calibri" w:eastAsia="Times New Roman" w:hAnsi="Calibri" w:cs="Times New Roman"/>
                <w:color w:val="000000"/>
                <w:sz w:val="20"/>
                <w:szCs w:val="20"/>
                <w:lang w:eastAsia="it-IT"/>
              </w:rPr>
              <w:t>2</w:t>
            </w:r>
            <w:r w:rsidR="00FD1963">
              <w:rPr>
                <w:rFonts w:ascii="Calibri" w:eastAsia="Times New Roman" w:hAnsi="Calibri" w:cs="Times New Roman"/>
                <w:color w:val="000000"/>
                <w:sz w:val="20"/>
                <w:szCs w:val="20"/>
                <w:lang w:eastAsia="it-IT"/>
              </w:rPr>
              <w:t>6</w:t>
            </w:r>
          </w:p>
        </w:tc>
      </w:tr>
      <w:tr w:rsidR="003F64A7" w:rsidRPr="003F64A7" w:rsidTr="003F64A7">
        <w:trPr>
          <w:trHeight w:val="375"/>
        </w:trPr>
        <w:tc>
          <w:tcPr>
            <w:tcW w:w="6840" w:type="dxa"/>
            <w:tcBorders>
              <w:top w:val="nil"/>
              <w:left w:val="nil"/>
              <w:bottom w:val="nil"/>
              <w:right w:val="nil"/>
            </w:tcBorders>
            <w:shd w:val="clear" w:color="auto" w:fill="auto"/>
            <w:vAlign w:val="center"/>
            <w:hideMark/>
          </w:tcPr>
          <w:p w:rsidR="003F64A7" w:rsidRPr="003F64A7" w:rsidRDefault="003F64A7" w:rsidP="003F64A7">
            <w:pPr>
              <w:spacing w:after="0" w:line="240" w:lineRule="auto"/>
              <w:jc w:val="right"/>
              <w:rPr>
                <w:rFonts w:ascii="Calibri" w:eastAsia="Times New Roman" w:hAnsi="Calibri" w:cs="Times New Roman"/>
                <w:b/>
                <w:bCs/>
                <w:color w:val="002060"/>
                <w:sz w:val="20"/>
                <w:szCs w:val="20"/>
                <w:lang w:eastAsia="it-IT"/>
              </w:rPr>
            </w:pPr>
            <w:r w:rsidRPr="003F64A7">
              <w:rPr>
                <w:rFonts w:ascii="Calibri" w:eastAsia="Times New Roman" w:hAnsi="Calibri" w:cs="Times New Roman"/>
                <w:b/>
                <w:bCs/>
                <w:color w:val="002060"/>
                <w:sz w:val="20"/>
                <w:szCs w:val="20"/>
                <w:lang w:eastAsia="it-IT"/>
              </w:rPr>
              <w:t>Principali Obiettivi delle UUOO Amministrative</w:t>
            </w:r>
          </w:p>
        </w:tc>
        <w:tc>
          <w:tcPr>
            <w:tcW w:w="960" w:type="dxa"/>
            <w:tcBorders>
              <w:top w:val="nil"/>
              <w:left w:val="nil"/>
              <w:bottom w:val="nil"/>
              <w:right w:val="nil"/>
            </w:tcBorders>
            <w:shd w:val="clear" w:color="auto" w:fill="auto"/>
            <w:vAlign w:val="center"/>
            <w:hideMark/>
          </w:tcPr>
          <w:p w:rsidR="003F64A7" w:rsidRPr="003F64A7" w:rsidRDefault="003F64A7" w:rsidP="00913922">
            <w:pPr>
              <w:spacing w:after="0" w:line="240" w:lineRule="auto"/>
              <w:jc w:val="center"/>
              <w:rPr>
                <w:rFonts w:ascii="Calibri" w:eastAsia="Times New Roman" w:hAnsi="Calibri" w:cs="Times New Roman"/>
                <w:color w:val="000000"/>
                <w:sz w:val="20"/>
                <w:szCs w:val="20"/>
                <w:lang w:eastAsia="it-IT"/>
              </w:rPr>
            </w:pPr>
            <w:r w:rsidRPr="003F64A7">
              <w:rPr>
                <w:rFonts w:ascii="Calibri" w:eastAsia="Times New Roman" w:hAnsi="Calibri" w:cs="Times New Roman"/>
                <w:color w:val="000000"/>
                <w:sz w:val="20"/>
                <w:szCs w:val="20"/>
                <w:lang w:eastAsia="it-IT"/>
              </w:rPr>
              <w:t>2</w:t>
            </w:r>
            <w:r w:rsidR="00FD1963">
              <w:rPr>
                <w:rFonts w:ascii="Calibri" w:eastAsia="Times New Roman" w:hAnsi="Calibri" w:cs="Times New Roman"/>
                <w:color w:val="000000"/>
                <w:sz w:val="20"/>
                <w:szCs w:val="20"/>
                <w:lang w:eastAsia="it-IT"/>
              </w:rPr>
              <w:t>8</w:t>
            </w:r>
          </w:p>
        </w:tc>
      </w:tr>
      <w:tr w:rsidR="003F64A7" w:rsidRPr="003F64A7" w:rsidTr="003F64A7">
        <w:trPr>
          <w:trHeight w:val="375"/>
        </w:trPr>
        <w:tc>
          <w:tcPr>
            <w:tcW w:w="6840" w:type="dxa"/>
            <w:tcBorders>
              <w:top w:val="nil"/>
              <w:left w:val="nil"/>
              <w:bottom w:val="nil"/>
              <w:right w:val="nil"/>
            </w:tcBorders>
            <w:shd w:val="clear" w:color="auto" w:fill="auto"/>
            <w:noWrap/>
            <w:vAlign w:val="center"/>
            <w:hideMark/>
          </w:tcPr>
          <w:p w:rsidR="003F64A7" w:rsidRPr="003F64A7" w:rsidRDefault="003F64A7" w:rsidP="003F64A7">
            <w:pPr>
              <w:spacing w:after="0" w:line="240" w:lineRule="auto"/>
              <w:jc w:val="both"/>
              <w:rPr>
                <w:rFonts w:ascii="Calibri" w:eastAsia="Times New Roman" w:hAnsi="Calibri" w:cs="Times New Roman"/>
                <w:b/>
                <w:bCs/>
                <w:color w:val="000000"/>
                <w:sz w:val="20"/>
                <w:szCs w:val="20"/>
                <w:lang w:eastAsia="it-IT"/>
              </w:rPr>
            </w:pPr>
            <w:r w:rsidRPr="003F64A7">
              <w:rPr>
                <w:rFonts w:ascii="Calibri" w:eastAsia="Times New Roman" w:hAnsi="Calibri" w:cs="Times New Roman"/>
                <w:b/>
                <w:bCs/>
                <w:color w:val="000000"/>
                <w:sz w:val="20"/>
                <w:szCs w:val="20"/>
                <w:lang w:eastAsia="it-IT"/>
              </w:rPr>
              <w:t xml:space="preserve">7.  Il processo del ciclo di gestione della performance </w:t>
            </w:r>
          </w:p>
        </w:tc>
        <w:tc>
          <w:tcPr>
            <w:tcW w:w="960" w:type="dxa"/>
            <w:tcBorders>
              <w:top w:val="nil"/>
              <w:left w:val="nil"/>
              <w:bottom w:val="nil"/>
              <w:right w:val="nil"/>
            </w:tcBorders>
            <w:shd w:val="clear" w:color="auto" w:fill="auto"/>
            <w:vAlign w:val="center"/>
            <w:hideMark/>
          </w:tcPr>
          <w:p w:rsidR="003F64A7" w:rsidRPr="003F64A7" w:rsidRDefault="003F64A7" w:rsidP="00913922">
            <w:pPr>
              <w:spacing w:after="0" w:line="240" w:lineRule="auto"/>
              <w:jc w:val="center"/>
              <w:rPr>
                <w:rFonts w:ascii="Calibri" w:eastAsia="Times New Roman" w:hAnsi="Calibri" w:cs="Times New Roman"/>
                <w:color w:val="000000"/>
                <w:sz w:val="20"/>
                <w:szCs w:val="20"/>
                <w:lang w:eastAsia="it-IT"/>
              </w:rPr>
            </w:pPr>
            <w:r w:rsidRPr="003F64A7">
              <w:rPr>
                <w:rFonts w:ascii="Calibri" w:eastAsia="Times New Roman" w:hAnsi="Calibri" w:cs="Times New Roman"/>
                <w:color w:val="000000"/>
                <w:sz w:val="20"/>
                <w:szCs w:val="20"/>
                <w:lang w:eastAsia="it-IT"/>
              </w:rPr>
              <w:t>2</w:t>
            </w:r>
            <w:r w:rsidR="00FD1963">
              <w:rPr>
                <w:rFonts w:ascii="Calibri" w:eastAsia="Times New Roman" w:hAnsi="Calibri" w:cs="Times New Roman"/>
                <w:color w:val="000000"/>
                <w:sz w:val="20"/>
                <w:szCs w:val="20"/>
                <w:lang w:eastAsia="it-IT"/>
              </w:rPr>
              <w:t>9</w:t>
            </w:r>
          </w:p>
        </w:tc>
      </w:tr>
      <w:tr w:rsidR="003F64A7" w:rsidRPr="003F64A7" w:rsidTr="003F64A7">
        <w:trPr>
          <w:trHeight w:val="375"/>
        </w:trPr>
        <w:tc>
          <w:tcPr>
            <w:tcW w:w="6840" w:type="dxa"/>
            <w:tcBorders>
              <w:top w:val="nil"/>
              <w:left w:val="nil"/>
              <w:bottom w:val="nil"/>
              <w:right w:val="nil"/>
            </w:tcBorders>
            <w:shd w:val="clear" w:color="auto" w:fill="auto"/>
            <w:noWrap/>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 xml:space="preserve">7.1 Fasi, soggetti e tempi del processo di redazione del Piano della performance </w:t>
            </w:r>
          </w:p>
        </w:tc>
        <w:tc>
          <w:tcPr>
            <w:tcW w:w="960" w:type="dxa"/>
            <w:tcBorders>
              <w:top w:val="nil"/>
              <w:left w:val="nil"/>
              <w:bottom w:val="nil"/>
              <w:right w:val="nil"/>
            </w:tcBorders>
            <w:shd w:val="clear" w:color="auto" w:fill="auto"/>
            <w:vAlign w:val="center"/>
            <w:hideMark/>
          </w:tcPr>
          <w:p w:rsidR="003F64A7" w:rsidRPr="003F64A7" w:rsidRDefault="003F64A7" w:rsidP="00336209">
            <w:pPr>
              <w:spacing w:after="0" w:line="240" w:lineRule="auto"/>
              <w:jc w:val="center"/>
              <w:rPr>
                <w:rFonts w:ascii="Calibri" w:eastAsia="Times New Roman" w:hAnsi="Calibri" w:cs="Times New Roman"/>
                <w:color w:val="000000"/>
                <w:sz w:val="20"/>
                <w:szCs w:val="20"/>
                <w:lang w:eastAsia="it-IT"/>
              </w:rPr>
            </w:pPr>
            <w:r w:rsidRPr="003F64A7">
              <w:rPr>
                <w:rFonts w:ascii="Calibri" w:eastAsia="Times New Roman" w:hAnsi="Calibri" w:cs="Times New Roman"/>
                <w:color w:val="000000"/>
                <w:sz w:val="20"/>
                <w:szCs w:val="20"/>
                <w:lang w:eastAsia="it-IT"/>
              </w:rPr>
              <w:t>2</w:t>
            </w:r>
            <w:r w:rsidR="00FD1963">
              <w:rPr>
                <w:rFonts w:ascii="Calibri" w:eastAsia="Times New Roman" w:hAnsi="Calibri" w:cs="Times New Roman"/>
                <w:color w:val="000000"/>
                <w:sz w:val="20"/>
                <w:szCs w:val="20"/>
                <w:lang w:eastAsia="it-IT"/>
              </w:rPr>
              <w:t>9</w:t>
            </w:r>
          </w:p>
        </w:tc>
      </w:tr>
      <w:tr w:rsidR="003F64A7" w:rsidRPr="003F64A7" w:rsidTr="003F64A7">
        <w:trPr>
          <w:trHeight w:val="375"/>
        </w:trPr>
        <w:tc>
          <w:tcPr>
            <w:tcW w:w="6840" w:type="dxa"/>
            <w:tcBorders>
              <w:top w:val="nil"/>
              <w:left w:val="nil"/>
              <w:bottom w:val="nil"/>
              <w:right w:val="nil"/>
            </w:tcBorders>
            <w:shd w:val="clear" w:color="auto" w:fill="auto"/>
            <w:noWrap/>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 xml:space="preserve">Valutazione della performance organizzativa </w:t>
            </w:r>
          </w:p>
        </w:tc>
        <w:tc>
          <w:tcPr>
            <w:tcW w:w="960" w:type="dxa"/>
            <w:tcBorders>
              <w:top w:val="nil"/>
              <w:left w:val="nil"/>
              <w:bottom w:val="nil"/>
              <w:right w:val="nil"/>
            </w:tcBorders>
            <w:shd w:val="clear" w:color="auto" w:fill="auto"/>
            <w:vAlign w:val="center"/>
            <w:hideMark/>
          </w:tcPr>
          <w:p w:rsidR="003F64A7" w:rsidRPr="003F64A7" w:rsidRDefault="00FD1963" w:rsidP="00336209">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30</w:t>
            </w:r>
          </w:p>
        </w:tc>
      </w:tr>
      <w:tr w:rsidR="003F64A7" w:rsidRPr="003F64A7" w:rsidTr="003F64A7">
        <w:trPr>
          <w:trHeight w:val="375"/>
        </w:trPr>
        <w:tc>
          <w:tcPr>
            <w:tcW w:w="6840" w:type="dxa"/>
            <w:tcBorders>
              <w:top w:val="nil"/>
              <w:left w:val="nil"/>
              <w:bottom w:val="nil"/>
              <w:right w:val="nil"/>
            </w:tcBorders>
            <w:shd w:val="clear" w:color="auto" w:fill="auto"/>
            <w:noWrap/>
            <w:vAlign w:val="center"/>
            <w:hideMark/>
          </w:tcPr>
          <w:p w:rsidR="003F64A7" w:rsidRPr="003F64A7" w:rsidRDefault="003F64A7" w:rsidP="003F64A7">
            <w:pPr>
              <w:spacing w:after="0" w:line="240" w:lineRule="auto"/>
              <w:jc w:val="right"/>
              <w:rPr>
                <w:rFonts w:ascii="Calibri" w:eastAsia="Times New Roman" w:hAnsi="Calibri" w:cs="Times New Roman"/>
                <w:b/>
                <w:bCs/>
                <w:color w:val="000066"/>
                <w:sz w:val="20"/>
                <w:szCs w:val="20"/>
                <w:lang w:eastAsia="it-IT"/>
              </w:rPr>
            </w:pPr>
            <w:r w:rsidRPr="003F64A7">
              <w:rPr>
                <w:rFonts w:ascii="Calibri" w:eastAsia="Times New Roman" w:hAnsi="Calibri" w:cs="Times New Roman"/>
                <w:b/>
                <w:bCs/>
                <w:color w:val="000066"/>
                <w:sz w:val="20"/>
                <w:szCs w:val="20"/>
                <w:lang w:eastAsia="it-IT"/>
              </w:rPr>
              <w:t xml:space="preserve">Valutazione della performance individuale dei dirigenti e del comparto </w:t>
            </w:r>
          </w:p>
        </w:tc>
        <w:tc>
          <w:tcPr>
            <w:tcW w:w="960" w:type="dxa"/>
            <w:tcBorders>
              <w:top w:val="nil"/>
              <w:left w:val="nil"/>
              <w:bottom w:val="nil"/>
              <w:right w:val="nil"/>
            </w:tcBorders>
            <w:shd w:val="clear" w:color="auto" w:fill="auto"/>
            <w:vAlign w:val="center"/>
            <w:hideMark/>
          </w:tcPr>
          <w:p w:rsidR="003F64A7" w:rsidRPr="003F64A7" w:rsidRDefault="00FD1963" w:rsidP="00042E84">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3</w:t>
            </w:r>
            <w:r w:rsidR="00042E84">
              <w:rPr>
                <w:rFonts w:ascii="Calibri" w:eastAsia="Times New Roman" w:hAnsi="Calibri" w:cs="Times New Roman"/>
                <w:color w:val="000000"/>
                <w:sz w:val="20"/>
                <w:szCs w:val="20"/>
                <w:lang w:eastAsia="it-IT"/>
              </w:rPr>
              <w:t>1</w:t>
            </w:r>
          </w:p>
        </w:tc>
      </w:tr>
      <w:tr w:rsidR="003F64A7" w:rsidRPr="003F64A7" w:rsidTr="003F64A7">
        <w:trPr>
          <w:trHeight w:val="375"/>
        </w:trPr>
        <w:tc>
          <w:tcPr>
            <w:tcW w:w="6840" w:type="dxa"/>
            <w:tcBorders>
              <w:top w:val="nil"/>
              <w:left w:val="nil"/>
              <w:bottom w:val="nil"/>
              <w:right w:val="nil"/>
            </w:tcBorders>
            <w:shd w:val="clear" w:color="auto" w:fill="auto"/>
            <w:noWrap/>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 xml:space="preserve">7.2 Coerenza con la programmazione economico finanziaria e di bilancio </w:t>
            </w:r>
          </w:p>
        </w:tc>
        <w:tc>
          <w:tcPr>
            <w:tcW w:w="960" w:type="dxa"/>
            <w:tcBorders>
              <w:top w:val="nil"/>
              <w:left w:val="nil"/>
              <w:bottom w:val="nil"/>
              <w:right w:val="nil"/>
            </w:tcBorders>
            <w:shd w:val="clear" w:color="auto" w:fill="auto"/>
            <w:vAlign w:val="center"/>
            <w:hideMark/>
          </w:tcPr>
          <w:p w:rsidR="003F64A7" w:rsidRPr="003F64A7" w:rsidRDefault="00FD196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31</w:t>
            </w:r>
          </w:p>
        </w:tc>
      </w:tr>
      <w:tr w:rsidR="003F64A7" w:rsidRPr="003F64A7" w:rsidTr="003F64A7">
        <w:trPr>
          <w:trHeight w:val="375"/>
        </w:trPr>
        <w:tc>
          <w:tcPr>
            <w:tcW w:w="6840" w:type="dxa"/>
            <w:tcBorders>
              <w:top w:val="nil"/>
              <w:left w:val="nil"/>
              <w:bottom w:val="nil"/>
              <w:right w:val="nil"/>
            </w:tcBorders>
            <w:shd w:val="clear" w:color="auto" w:fill="auto"/>
            <w:noWrap/>
            <w:vAlign w:val="center"/>
            <w:hideMark/>
          </w:tcPr>
          <w:p w:rsidR="003F64A7" w:rsidRPr="003F64A7" w:rsidRDefault="003F64A7" w:rsidP="003F64A7">
            <w:pPr>
              <w:spacing w:after="0" w:line="240" w:lineRule="auto"/>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7.3 Azioni per il miglioramento del Ciclo di gestione delle performance</w:t>
            </w:r>
          </w:p>
        </w:tc>
        <w:tc>
          <w:tcPr>
            <w:tcW w:w="960" w:type="dxa"/>
            <w:tcBorders>
              <w:top w:val="nil"/>
              <w:left w:val="nil"/>
              <w:bottom w:val="nil"/>
              <w:right w:val="nil"/>
            </w:tcBorders>
            <w:shd w:val="clear" w:color="auto" w:fill="auto"/>
            <w:vAlign w:val="center"/>
            <w:hideMark/>
          </w:tcPr>
          <w:p w:rsidR="003F64A7" w:rsidRPr="003F64A7" w:rsidRDefault="00FD196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32</w:t>
            </w:r>
          </w:p>
        </w:tc>
      </w:tr>
      <w:tr w:rsidR="003F64A7" w:rsidRPr="003F64A7" w:rsidTr="003F64A7">
        <w:trPr>
          <w:trHeight w:val="405"/>
        </w:trPr>
        <w:tc>
          <w:tcPr>
            <w:tcW w:w="6840" w:type="dxa"/>
            <w:tcBorders>
              <w:top w:val="nil"/>
              <w:left w:val="nil"/>
              <w:bottom w:val="nil"/>
              <w:right w:val="nil"/>
            </w:tcBorders>
            <w:shd w:val="clear" w:color="auto" w:fill="auto"/>
            <w:noWrap/>
            <w:vAlign w:val="center"/>
            <w:hideMark/>
          </w:tcPr>
          <w:p w:rsidR="003F64A7" w:rsidRPr="003F64A7" w:rsidRDefault="003F64A7" w:rsidP="003F64A7">
            <w:pPr>
              <w:spacing w:after="0" w:line="240" w:lineRule="auto"/>
              <w:jc w:val="right"/>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7.3.1 Interventi Area Sanitaria</w:t>
            </w:r>
          </w:p>
        </w:tc>
        <w:tc>
          <w:tcPr>
            <w:tcW w:w="960" w:type="dxa"/>
            <w:tcBorders>
              <w:top w:val="nil"/>
              <w:left w:val="nil"/>
              <w:bottom w:val="nil"/>
              <w:right w:val="nil"/>
            </w:tcBorders>
            <w:shd w:val="clear" w:color="auto" w:fill="auto"/>
            <w:vAlign w:val="center"/>
            <w:hideMark/>
          </w:tcPr>
          <w:p w:rsidR="003F64A7" w:rsidRPr="003F64A7" w:rsidRDefault="00FD1963" w:rsidP="003F64A7">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33</w:t>
            </w:r>
          </w:p>
        </w:tc>
      </w:tr>
      <w:tr w:rsidR="003F64A7" w:rsidRPr="003F64A7" w:rsidTr="003F64A7">
        <w:trPr>
          <w:trHeight w:val="405"/>
        </w:trPr>
        <w:tc>
          <w:tcPr>
            <w:tcW w:w="6840" w:type="dxa"/>
            <w:tcBorders>
              <w:top w:val="nil"/>
              <w:left w:val="nil"/>
              <w:bottom w:val="nil"/>
              <w:right w:val="nil"/>
            </w:tcBorders>
            <w:shd w:val="clear" w:color="auto" w:fill="auto"/>
            <w:noWrap/>
            <w:vAlign w:val="center"/>
            <w:hideMark/>
          </w:tcPr>
          <w:p w:rsidR="003F64A7" w:rsidRPr="003F64A7" w:rsidRDefault="003F64A7" w:rsidP="003F64A7">
            <w:pPr>
              <w:spacing w:after="0" w:line="240" w:lineRule="auto"/>
              <w:jc w:val="right"/>
              <w:rPr>
                <w:rFonts w:ascii="Calibri" w:eastAsia="Times New Roman" w:hAnsi="Calibri" w:cs="Times New Roman"/>
                <w:b/>
                <w:bCs/>
                <w:i/>
                <w:iCs/>
                <w:color w:val="0070C0"/>
                <w:sz w:val="20"/>
                <w:szCs w:val="20"/>
                <w:lang w:eastAsia="it-IT"/>
              </w:rPr>
            </w:pPr>
            <w:r w:rsidRPr="003F64A7">
              <w:rPr>
                <w:rFonts w:ascii="Calibri" w:eastAsia="Times New Roman" w:hAnsi="Calibri" w:cs="Times New Roman"/>
                <w:b/>
                <w:bCs/>
                <w:i/>
                <w:iCs/>
                <w:color w:val="0070C0"/>
                <w:sz w:val="20"/>
                <w:szCs w:val="20"/>
                <w:lang w:eastAsia="it-IT"/>
              </w:rPr>
              <w:t>7.3.2 Interventi Area Amministrativa</w:t>
            </w:r>
          </w:p>
        </w:tc>
        <w:tc>
          <w:tcPr>
            <w:tcW w:w="960" w:type="dxa"/>
            <w:tcBorders>
              <w:top w:val="nil"/>
              <w:left w:val="nil"/>
              <w:bottom w:val="nil"/>
              <w:right w:val="nil"/>
            </w:tcBorders>
            <w:shd w:val="clear" w:color="auto" w:fill="auto"/>
            <w:vAlign w:val="center"/>
            <w:hideMark/>
          </w:tcPr>
          <w:p w:rsidR="003F64A7" w:rsidRPr="003F64A7" w:rsidRDefault="00FD1963" w:rsidP="00042E84">
            <w:pPr>
              <w:spacing w:after="0" w:line="240" w:lineRule="auto"/>
              <w:jc w:val="center"/>
              <w:rPr>
                <w:rFonts w:ascii="Calibri" w:eastAsia="Times New Roman" w:hAnsi="Calibri" w:cs="Times New Roman"/>
                <w:color w:val="000000"/>
                <w:sz w:val="20"/>
                <w:szCs w:val="20"/>
                <w:lang w:eastAsia="it-IT"/>
              </w:rPr>
            </w:pPr>
            <w:r>
              <w:rPr>
                <w:rFonts w:ascii="Calibri" w:eastAsia="Times New Roman" w:hAnsi="Calibri" w:cs="Times New Roman"/>
                <w:color w:val="000000"/>
                <w:sz w:val="20"/>
                <w:szCs w:val="20"/>
                <w:lang w:eastAsia="it-IT"/>
              </w:rPr>
              <w:t>3</w:t>
            </w:r>
            <w:r w:rsidR="00042E84">
              <w:rPr>
                <w:rFonts w:ascii="Calibri" w:eastAsia="Times New Roman" w:hAnsi="Calibri" w:cs="Times New Roman"/>
                <w:color w:val="000000"/>
                <w:sz w:val="20"/>
                <w:szCs w:val="20"/>
                <w:lang w:eastAsia="it-IT"/>
              </w:rPr>
              <w:t>5</w:t>
            </w:r>
          </w:p>
        </w:tc>
      </w:tr>
    </w:tbl>
    <w:p w:rsidR="00653459" w:rsidRDefault="00653459" w:rsidP="00653459">
      <w:pPr>
        <w:rPr>
          <w:b/>
        </w:rPr>
      </w:pPr>
      <w:r w:rsidRPr="00653459">
        <w:rPr>
          <w:b/>
        </w:rPr>
        <w:lastRenderedPageBreak/>
        <w:t xml:space="preserve">2. Sintesi delle informazioni di interesse per i cittadini e gli stakeholder esterni </w:t>
      </w:r>
    </w:p>
    <w:p w:rsidR="00653459" w:rsidRPr="00F7104F" w:rsidRDefault="00653459" w:rsidP="009959D2">
      <w:pPr>
        <w:jc w:val="both"/>
        <w:rPr>
          <w:b/>
          <w:i/>
          <w:color w:val="0070C0"/>
        </w:rPr>
      </w:pPr>
      <w:r w:rsidRPr="00F7104F">
        <w:rPr>
          <w:b/>
          <w:i/>
          <w:color w:val="0070C0"/>
        </w:rPr>
        <w:t xml:space="preserve">2.1 Chi siamo </w:t>
      </w:r>
    </w:p>
    <w:p w:rsidR="00653459" w:rsidRDefault="00653459" w:rsidP="00653459">
      <w:pPr>
        <w:jc w:val="both"/>
      </w:pPr>
      <w:r>
        <w:t>L</w:t>
      </w:r>
      <w:r w:rsidR="00FB3E05">
        <w:t>’</w:t>
      </w:r>
      <w:r>
        <w:t xml:space="preserve">Azienda Ospedaliera di Rilievo Nazionale e di Alta Specializzazione Civico G. Di Cristina Benfratelli, è stata formalmente costituita con Legge Regionale n°5 del 14 aprile 2009 ed attivata giusto Decreto del Presidente della Regione Siciliana n°338 del 31 agosto 2009. </w:t>
      </w:r>
    </w:p>
    <w:p w:rsidR="00653459" w:rsidRDefault="00653459" w:rsidP="00653459">
      <w:pPr>
        <w:jc w:val="both"/>
      </w:pPr>
      <w:r>
        <w:t xml:space="preserve">Ai sensi e per gli effetti di legge, l’Azienda ha personalità giuridica pubblica ed autonomia imprenditoriale. La sede legale è fissata in Palermo, con indirizzo in Piazza Nicola Leotta n°4, e la partita IVA è la seguente: 05841770828. </w:t>
      </w:r>
    </w:p>
    <w:p w:rsidR="00653459" w:rsidRDefault="00653459" w:rsidP="009959D2">
      <w:pPr>
        <w:jc w:val="both"/>
      </w:pPr>
      <w:r>
        <w:t xml:space="preserve">Il patrimonio dell’ARNAS Civico costituito da tutti i beni mobili ed immobili ad essa appartenenti ivi compresi, pertanto, quelli da trasferire o trasferiti dallo Stato o da altri enti pubblici in virtù di leggi o provvedimenti amministrativi, nonché da tutti i beni comunque acquisiti nell’esercizio della propria attività, compresi i beni mobili ed immobili utilizzati dalla società Is.Me.T.T. s.r.l., partecipata dall’ARNAS Civico, o acquisiti a seguito di atti di liberalità. </w:t>
      </w:r>
    </w:p>
    <w:p w:rsidR="00653459" w:rsidRDefault="00653459" w:rsidP="00523925">
      <w:pPr>
        <w:jc w:val="both"/>
      </w:pPr>
      <w:r>
        <w:t xml:space="preserve">L’Azienda dispone del proprio patrimonio secondo il regime della proprietà privata, ferme restando le disposizioni di cui agli articoli n°826, 3° comma, e n°830, 2° comma, del Codice Civile. </w:t>
      </w:r>
    </w:p>
    <w:p w:rsidR="002234B2" w:rsidRDefault="00653459" w:rsidP="009959D2">
      <w:pPr>
        <w:jc w:val="both"/>
      </w:pPr>
      <w:r>
        <w:t>I</w:t>
      </w:r>
      <w:r w:rsidR="002234B2">
        <w:t xml:space="preserve"> </w:t>
      </w:r>
      <w:r>
        <w:t>beni mobili</w:t>
      </w:r>
      <w:r w:rsidR="002234B2">
        <w:t xml:space="preserve"> </w:t>
      </w:r>
      <w:r>
        <w:t>e</w:t>
      </w:r>
      <w:r w:rsidR="002234B2">
        <w:t xml:space="preserve"> </w:t>
      </w:r>
      <w:r>
        <w:t>immobili che</w:t>
      </w:r>
      <w:r w:rsidR="002234B2">
        <w:t xml:space="preserve"> </w:t>
      </w:r>
      <w:r>
        <w:t>l’Azienda utilizza</w:t>
      </w:r>
      <w:r w:rsidR="002234B2">
        <w:t xml:space="preserve"> </w:t>
      </w:r>
      <w:r>
        <w:t>per</w:t>
      </w:r>
      <w:r w:rsidR="002234B2">
        <w:t xml:space="preserve"> </w:t>
      </w:r>
      <w:r>
        <w:t>il</w:t>
      </w:r>
      <w:r w:rsidR="002234B2">
        <w:t xml:space="preserve"> </w:t>
      </w:r>
      <w:r>
        <w:t>perseguimento dei</w:t>
      </w:r>
      <w:r w:rsidR="002234B2">
        <w:t xml:space="preserve"> </w:t>
      </w:r>
      <w:r>
        <w:t>propri</w:t>
      </w:r>
      <w:r w:rsidR="002234B2">
        <w:t xml:space="preserve"> </w:t>
      </w:r>
      <w:r>
        <w:t>fini</w:t>
      </w:r>
      <w:r w:rsidR="002234B2">
        <w:t xml:space="preserve"> </w:t>
      </w:r>
      <w:r>
        <w:t>istituzionali costituiscono</w:t>
      </w:r>
      <w:r w:rsidR="002234B2">
        <w:t xml:space="preserve"> </w:t>
      </w:r>
      <w:r>
        <w:t>patrimonio</w:t>
      </w:r>
      <w:r w:rsidR="002234B2">
        <w:t xml:space="preserve"> </w:t>
      </w:r>
      <w:r>
        <w:t>indisponibile della</w:t>
      </w:r>
      <w:r w:rsidR="002234B2">
        <w:t xml:space="preserve"> </w:t>
      </w:r>
      <w:r>
        <w:t>stessa,</w:t>
      </w:r>
      <w:r w:rsidR="002234B2">
        <w:t xml:space="preserve"> </w:t>
      </w:r>
      <w:r>
        <w:t>soggetti</w:t>
      </w:r>
      <w:r w:rsidR="002234B2">
        <w:t xml:space="preserve"> </w:t>
      </w:r>
      <w:r>
        <w:t>alla</w:t>
      </w:r>
      <w:r w:rsidR="002234B2">
        <w:t xml:space="preserve"> </w:t>
      </w:r>
      <w:r>
        <w:t>disciplina dell'articolo</w:t>
      </w:r>
      <w:r w:rsidR="002234B2">
        <w:t xml:space="preserve"> </w:t>
      </w:r>
      <w:r>
        <w:t>828,</w:t>
      </w:r>
      <w:r w:rsidR="002234B2">
        <w:t xml:space="preserve"> </w:t>
      </w:r>
      <w:r>
        <w:t xml:space="preserve">2° comma, del Codice Civile. </w:t>
      </w:r>
    </w:p>
    <w:p w:rsidR="00653459" w:rsidRDefault="00653459" w:rsidP="009959D2">
      <w:pPr>
        <w:jc w:val="both"/>
      </w:pPr>
      <w:r>
        <w:t xml:space="preserve">Tutti i beni di proprietà dell'Azienda sono iscritti nel libro degli inventari nonché, ove previsto, presso i pubblici registri. </w:t>
      </w:r>
    </w:p>
    <w:p w:rsidR="0044584F" w:rsidRPr="00F7104F" w:rsidRDefault="0044584F" w:rsidP="009959D2">
      <w:pPr>
        <w:jc w:val="both"/>
        <w:rPr>
          <w:b/>
          <w:i/>
          <w:color w:val="0070C0"/>
        </w:rPr>
      </w:pPr>
      <w:r w:rsidRPr="00F7104F">
        <w:rPr>
          <w:b/>
          <w:i/>
          <w:color w:val="0070C0"/>
        </w:rPr>
        <w:t xml:space="preserve">2.2 Cosa facciamo </w:t>
      </w:r>
    </w:p>
    <w:p w:rsidR="00F53C06" w:rsidRDefault="005E070E" w:rsidP="009959D2">
      <w:pPr>
        <w:jc w:val="both"/>
      </w:pPr>
      <w:r>
        <w:t>L’Azienda</w:t>
      </w:r>
      <w:r w:rsidR="00F53C06">
        <w:t xml:space="preserve"> rappresenta il punto di riferimento per gli assistiti della Sicilia occidentale nelle alte specializzazioni. Ciò </w:t>
      </w:r>
      <w:r w:rsidR="00DD0175">
        <w:t>significa</w:t>
      </w:r>
      <w:r w:rsidR="00F53C06">
        <w:t>:</w:t>
      </w:r>
    </w:p>
    <w:p w:rsidR="00F53C06" w:rsidRDefault="00F53C06" w:rsidP="00FB3E05">
      <w:pPr>
        <w:pStyle w:val="Paragrafoelenco"/>
        <w:numPr>
          <w:ilvl w:val="0"/>
          <w:numId w:val="3"/>
        </w:numPr>
        <w:jc w:val="both"/>
      </w:pPr>
      <w:r>
        <w:t>gestire patologie, non solo ad alta complessità, ma anche per le quali risulta indispensabile il contributo di professionalità dotate di alta specializzazione;</w:t>
      </w:r>
    </w:p>
    <w:p w:rsidR="00F53C06" w:rsidRDefault="00DD0175" w:rsidP="00FB3E05">
      <w:pPr>
        <w:pStyle w:val="Paragrafoelenco"/>
        <w:numPr>
          <w:ilvl w:val="0"/>
          <w:numId w:val="3"/>
        </w:numPr>
        <w:jc w:val="both"/>
      </w:pPr>
      <w:r>
        <w:t>g</w:t>
      </w:r>
      <w:r w:rsidR="00F53C06">
        <w:t>arantire la continuità diagnostico-assistenziale dell’emergenza</w:t>
      </w:r>
      <w:r>
        <w:t>/</w:t>
      </w:r>
      <w:r w:rsidR="00F53C06">
        <w:t>urgenza sia per gli adulti che per i bambini;</w:t>
      </w:r>
    </w:p>
    <w:p w:rsidR="00F53C06" w:rsidRDefault="00F53C06" w:rsidP="00FB3E05">
      <w:pPr>
        <w:pStyle w:val="Paragrafoelenco"/>
        <w:numPr>
          <w:ilvl w:val="0"/>
          <w:numId w:val="3"/>
        </w:numPr>
        <w:jc w:val="both"/>
      </w:pPr>
      <w:r>
        <w:t>essere un centro di riferimento per le attività specialistiche delle Aziende Sanitarie Territoriali della Sicilia Occidentale, secondo le indicazioni degli atti di programmazione sanitaria;</w:t>
      </w:r>
    </w:p>
    <w:p w:rsidR="00F53C06" w:rsidRDefault="00DD0175" w:rsidP="00FB3E05">
      <w:pPr>
        <w:pStyle w:val="Paragrafoelenco"/>
        <w:numPr>
          <w:ilvl w:val="0"/>
          <w:numId w:val="3"/>
        </w:numPr>
        <w:jc w:val="both"/>
      </w:pPr>
      <w:r>
        <w:t>s</w:t>
      </w:r>
      <w:r w:rsidR="00F53C06">
        <w:t>volgere attività di ricerca orientata a sviluppare procedure diagnostiche e terapeutiche innovative.</w:t>
      </w:r>
    </w:p>
    <w:p w:rsidR="00DD0175" w:rsidRDefault="00F53C06" w:rsidP="009959D2">
      <w:pPr>
        <w:jc w:val="both"/>
      </w:pPr>
      <w:r>
        <w:t>L’Azienda,</w:t>
      </w:r>
      <w:r w:rsidR="00DD0175">
        <w:t xml:space="preserve"> </w:t>
      </w:r>
      <w:r>
        <w:t>in coerenza agli indirizzi del Piano Socio Sanitario Regionale, concorre a garantire l'assistenza ad alta complessità e ad alto contenuto tecnologico</w:t>
      </w:r>
      <w:r w:rsidR="00DD0175">
        <w:t>, nell’emergenza e nell’elezione,</w:t>
      </w:r>
      <w:r>
        <w:t xml:space="preserve"> in ambito provinciale e regionale, in quanto</w:t>
      </w:r>
      <w:r w:rsidR="00006CC6">
        <w:t>,</w:t>
      </w:r>
      <w:r>
        <w:t xml:space="preserve"> </w:t>
      </w:r>
      <w:r w:rsidR="00006CC6">
        <w:t>così come determinato dalla programmazione regionale, costituisce</w:t>
      </w:r>
      <w:r w:rsidR="00006CC6" w:rsidRPr="00DD0175">
        <w:rPr>
          <w:i/>
        </w:rPr>
        <w:t xml:space="preserve"> </w:t>
      </w:r>
      <w:r w:rsidRPr="00DD0175">
        <w:rPr>
          <w:i/>
        </w:rPr>
        <w:t>hub</w:t>
      </w:r>
      <w:r>
        <w:t xml:space="preserve"> regionale</w:t>
      </w:r>
      <w:r w:rsidR="00006CC6">
        <w:t xml:space="preserve"> per le reti</w:t>
      </w:r>
      <w:r w:rsidR="00DD0175">
        <w:t>:</w:t>
      </w:r>
    </w:p>
    <w:p w:rsidR="00DD0175" w:rsidRPr="00006CC6" w:rsidRDefault="00F53C06" w:rsidP="00DD0175">
      <w:pPr>
        <w:pStyle w:val="Paragrafoelenco"/>
        <w:numPr>
          <w:ilvl w:val="0"/>
          <w:numId w:val="1"/>
        </w:numPr>
        <w:jc w:val="both"/>
      </w:pPr>
      <w:r w:rsidRPr="00006CC6">
        <w:rPr>
          <w:color w:val="2592FF"/>
        </w:rPr>
        <w:t>dell’emergenza</w:t>
      </w:r>
      <w:r w:rsidR="00006CC6" w:rsidRPr="00006CC6">
        <w:t xml:space="preserve">: </w:t>
      </w:r>
      <w:r w:rsidRPr="00006CC6">
        <w:t>Infarto Miocardico Acuto, Stroke, TeleNeuReS, Politrauma</w:t>
      </w:r>
      <w:r w:rsidR="00006CC6" w:rsidRPr="00006CC6">
        <w:t xml:space="preserve"> (</w:t>
      </w:r>
      <w:r w:rsidR="00006CC6" w:rsidRPr="00006CC6">
        <w:rPr>
          <w:i/>
        </w:rPr>
        <w:t>hub</w:t>
      </w:r>
      <w:r w:rsidR="00006CC6" w:rsidRPr="00006CC6">
        <w:t xml:space="preserve"> integrato)</w:t>
      </w:r>
      <w:r w:rsidR="00006CC6">
        <w:t>;</w:t>
      </w:r>
      <w:r w:rsidRPr="00006CC6">
        <w:t xml:space="preserve"> </w:t>
      </w:r>
    </w:p>
    <w:p w:rsidR="00006CC6" w:rsidRPr="00006CC6" w:rsidRDefault="00F53C06" w:rsidP="00DD0175">
      <w:pPr>
        <w:pStyle w:val="Paragrafoelenco"/>
        <w:numPr>
          <w:ilvl w:val="0"/>
          <w:numId w:val="1"/>
        </w:numPr>
        <w:jc w:val="both"/>
      </w:pPr>
      <w:r w:rsidRPr="00006CC6">
        <w:rPr>
          <w:color w:val="2592FF"/>
        </w:rPr>
        <w:t>cliniche</w:t>
      </w:r>
      <w:r w:rsidR="00006CC6" w:rsidRPr="00006CC6">
        <w:t xml:space="preserve">: </w:t>
      </w:r>
      <w:r w:rsidRPr="00006CC6">
        <w:t>Trapianto di cellule staminali emopoietiche, Trapianto di Rene, Rete Reumatologica, Epatiti da Virus C, Malattie Infiammatorie Croniche dell’Intestino, Malattia Celiaca, Talassemia e Em</w:t>
      </w:r>
      <w:r w:rsidR="00006CC6" w:rsidRPr="00006CC6">
        <w:t>oglobinopatie, Fibrosi Cistica;</w:t>
      </w:r>
    </w:p>
    <w:p w:rsidR="00F53C06" w:rsidRDefault="00F53C06" w:rsidP="00DD0175">
      <w:pPr>
        <w:pStyle w:val="Paragrafoelenco"/>
        <w:numPr>
          <w:ilvl w:val="0"/>
          <w:numId w:val="1"/>
        </w:numPr>
        <w:jc w:val="both"/>
      </w:pPr>
      <w:r w:rsidRPr="00006CC6">
        <w:rPr>
          <w:color w:val="2592FF"/>
        </w:rPr>
        <w:lastRenderedPageBreak/>
        <w:t>legate alle malattie rare</w:t>
      </w:r>
      <w:r w:rsidR="00006CC6">
        <w:t xml:space="preserve">: </w:t>
      </w:r>
      <w:r>
        <w:t>Malattie Infettive Rare, Tumori Rari e Tumori solidi eredo-familiari del bambino, Metabolismo dell’infanzia, Anemie rare congenite, Malattie rare di interesse dermatologico, Malformazioni congenite rare.</w:t>
      </w:r>
    </w:p>
    <w:p w:rsidR="0044584F" w:rsidRDefault="00006CC6" w:rsidP="009959D2">
      <w:pPr>
        <w:jc w:val="both"/>
      </w:pPr>
      <w:r>
        <w:t>Inoltre, l</w:t>
      </w:r>
      <w:r w:rsidR="0044584F">
        <w:t>’Azienda</w:t>
      </w:r>
      <w:r>
        <w:t>, s</w:t>
      </w:r>
      <w:r w:rsidR="0044584F">
        <w:t>volge</w:t>
      </w:r>
      <w:r>
        <w:t xml:space="preserve"> </w:t>
      </w:r>
      <w:r w:rsidR="0044584F">
        <w:t>diffusa</w:t>
      </w:r>
      <w:r>
        <w:t xml:space="preserve"> </w:t>
      </w:r>
      <w:r w:rsidR="0044584F">
        <w:t>e</w:t>
      </w:r>
      <w:r>
        <w:t xml:space="preserve">d </w:t>
      </w:r>
      <w:r w:rsidR="0044584F">
        <w:t>intensa attività di</w:t>
      </w:r>
      <w:r>
        <w:t xml:space="preserve"> </w:t>
      </w:r>
      <w:r w:rsidR="0044584F">
        <w:t>ricerca</w:t>
      </w:r>
      <w:r>
        <w:t xml:space="preserve"> </w:t>
      </w:r>
      <w:r w:rsidR="0044584F">
        <w:t>orientata a</w:t>
      </w:r>
      <w:r>
        <w:t xml:space="preserve"> </w:t>
      </w:r>
      <w:r w:rsidR="0044584F">
        <w:t>sviluppare</w:t>
      </w:r>
      <w:r>
        <w:t xml:space="preserve"> procedure </w:t>
      </w:r>
      <w:r w:rsidR="0044584F">
        <w:t>diagnostiche</w:t>
      </w:r>
      <w:r>
        <w:t xml:space="preserve"> </w:t>
      </w:r>
      <w:r w:rsidR="0044584F">
        <w:t>e terapeutiche innovative e</w:t>
      </w:r>
      <w:r>
        <w:t xml:space="preserve"> </w:t>
      </w:r>
      <w:r w:rsidR="00F22DDE">
        <w:t xml:space="preserve">a favorire </w:t>
      </w:r>
      <w:r w:rsidR="0044584F">
        <w:t>il rapido trasferimento applicativo e</w:t>
      </w:r>
      <w:r w:rsidR="00F22DDE">
        <w:t xml:space="preserve"> </w:t>
      </w:r>
      <w:r w:rsidR="0044584F">
        <w:t xml:space="preserve">la </w:t>
      </w:r>
      <w:r w:rsidR="00F22DDE">
        <w:t xml:space="preserve">loro diffusione </w:t>
      </w:r>
      <w:r w:rsidR="0044584F">
        <w:t xml:space="preserve">attraverso attività formative programmate e organizzate all’interno dell’azienda. </w:t>
      </w:r>
    </w:p>
    <w:p w:rsidR="00F22DDE" w:rsidRPr="00F7104F" w:rsidRDefault="00F22DDE" w:rsidP="009959D2">
      <w:pPr>
        <w:jc w:val="both"/>
        <w:rPr>
          <w:b/>
          <w:i/>
          <w:color w:val="0070C0"/>
        </w:rPr>
      </w:pPr>
      <w:r w:rsidRPr="00F7104F">
        <w:rPr>
          <w:b/>
          <w:i/>
          <w:color w:val="0070C0"/>
        </w:rPr>
        <w:t xml:space="preserve">2.3 Come operiamo </w:t>
      </w:r>
    </w:p>
    <w:p w:rsidR="00F22DDE" w:rsidRDefault="009959D2" w:rsidP="00F22DDE">
      <w:pPr>
        <w:jc w:val="both"/>
      </w:pPr>
      <w:r>
        <w:t xml:space="preserve"> </w:t>
      </w:r>
      <w:r w:rsidR="00F22DDE">
        <w:t xml:space="preserve">L’ARNAS Civico si propone di rafforzare il suo ruolo attraverso l’impegno mirato e costante finalizzato ad: </w:t>
      </w:r>
    </w:p>
    <w:p w:rsidR="00F22DDE" w:rsidRDefault="00F22DDE" w:rsidP="007D468B">
      <w:pPr>
        <w:pStyle w:val="Paragrafoelenco"/>
        <w:numPr>
          <w:ilvl w:val="0"/>
          <w:numId w:val="3"/>
        </w:numPr>
        <w:jc w:val="both"/>
      </w:pPr>
      <w:r>
        <w:t xml:space="preserve">aumentare il grado di soddisfazione degli utenti e degli operatori, attraverso l'applicazione del modello di umanizzazione delle cure, vigilando sull'applicazione dei protocolli di sicurezza delle procedure sui pazienti, e quindi, agendo sulla riduzione del rischio di incidenti sanitari, sul rispetto della normativa riguardo il consenso informato ed infine sul rispetto della normativa vigente in materia di tutela dei dati sensibili; </w:t>
      </w:r>
    </w:p>
    <w:p w:rsidR="00F22DDE" w:rsidRDefault="00F22DDE" w:rsidP="00F22DDE">
      <w:pPr>
        <w:pStyle w:val="Paragrafoelenco"/>
        <w:numPr>
          <w:ilvl w:val="0"/>
          <w:numId w:val="3"/>
        </w:numPr>
        <w:jc w:val="both"/>
      </w:pPr>
      <w:r>
        <w:t xml:space="preserve">rafforzare la posizione di eccellenza per il trattamento di tutte le patologie ed in particolare di quelle di alta specialità. </w:t>
      </w:r>
    </w:p>
    <w:p w:rsidR="00EC6F20" w:rsidRDefault="00EC6F20" w:rsidP="009959D2">
      <w:pPr>
        <w:jc w:val="both"/>
      </w:pPr>
      <w:r>
        <w:t>Pertanto, le scelte e gli obiettivi strategici dell’ARNAS Civico G. Di Cristina Benfratelli devono essere diretti da una parte a migliorare lo status di centro sanitario dedicato ai trattamenti di elezione e di elevata complessità, soprattutto in ambito oncologico e cardiologico, dall’altra a potenziare l’attività legata all’emergenza-urgenza, differenziandone e facilitandone i percorsi.</w:t>
      </w:r>
    </w:p>
    <w:p w:rsidR="00F22DDE" w:rsidRDefault="00EC6F20" w:rsidP="009959D2">
      <w:pPr>
        <w:jc w:val="both"/>
      </w:pPr>
      <w:r>
        <w:t>A</w:t>
      </w:r>
      <w:r w:rsidR="00F22DDE">
        <w:t>l fine di implementare quanto</w:t>
      </w:r>
      <w:r w:rsidR="00F22DDE">
        <w:tab/>
        <w:t>previsto</w:t>
      </w:r>
      <w:r>
        <w:t xml:space="preserve"> </w:t>
      </w:r>
      <w:r w:rsidR="00F22DDE">
        <w:t>dalla</w:t>
      </w:r>
      <w:r>
        <w:t xml:space="preserve"> </w:t>
      </w:r>
      <w:r w:rsidR="00F22DDE">
        <w:t xml:space="preserve">programmazione </w:t>
      </w:r>
      <w:r>
        <w:t>Regionale, inter-aziendale e Aziendale</w:t>
      </w:r>
      <w:r w:rsidR="007C5B11">
        <w:t xml:space="preserve">, lo sforzo dei professionisti </w:t>
      </w:r>
      <w:r w:rsidR="009959D2">
        <w:t>dell’ARNAS</w:t>
      </w:r>
      <w:r w:rsidR="007C5B11">
        <w:t xml:space="preserve"> è indirizzato verso:</w:t>
      </w:r>
    </w:p>
    <w:p w:rsidR="00F22DDE" w:rsidRDefault="007C5B11" w:rsidP="007D468B">
      <w:pPr>
        <w:pStyle w:val="Paragrafoelenco"/>
        <w:numPr>
          <w:ilvl w:val="0"/>
          <w:numId w:val="3"/>
        </w:numPr>
        <w:jc w:val="both"/>
      </w:pPr>
      <w:r>
        <w:t>il consolidamento e il potenziamento del</w:t>
      </w:r>
      <w:r w:rsidR="00F22DDE">
        <w:t xml:space="preserve">le aree che caratterizzano l’Azienda come struttura di alta  specialità incrementando, nel rispetto dei principi di appropriatezza, il “case mix”; </w:t>
      </w:r>
    </w:p>
    <w:p w:rsidR="00F22DDE" w:rsidRDefault="007C5B11" w:rsidP="007D468B">
      <w:pPr>
        <w:pStyle w:val="Paragrafoelenco"/>
        <w:numPr>
          <w:ilvl w:val="0"/>
          <w:numId w:val="3"/>
        </w:numPr>
        <w:jc w:val="both"/>
      </w:pPr>
      <w:r>
        <w:t xml:space="preserve">il </w:t>
      </w:r>
      <w:r w:rsidR="00F22DDE">
        <w:t>rafforza</w:t>
      </w:r>
      <w:r>
        <w:t xml:space="preserve">mento del </w:t>
      </w:r>
      <w:r w:rsidR="00F22DDE">
        <w:t>ruolo di</w:t>
      </w:r>
      <w:r>
        <w:t xml:space="preserve"> </w:t>
      </w:r>
      <w:r w:rsidR="00F22DDE">
        <w:t xml:space="preserve">riferimento svolto </w:t>
      </w:r>
      <w:r w:rsidR="00F22DDE">
        <w:tab/>
        <w:t>dall’Azienda nella risposta all’emergenza</w:t>
      </w:r>
      <w:r>
        <w:t>/</w:t>
      </w:r>
      <w:r w:rsidR="00F22DDE">
        <w:t xml:space="preserve">urgenza in ambito provinciale e regionale; </w:t>
      </w:r>
    </w:p>
    <w:p w:rsidR="007C5B11" w:rsidRDefault="007C5B11" w:rsidP="007D468B">
      <w:pPr>
        <w:pStyle w:val="Paragrafoelenco"/>
        <w:numPr>
          <w:ilvl w:val="0"/>
          <w:numId w:val="3"/>
        </w:numPr>
        <w:jc w:val="both"/>
      </w:pPr>
      <w:r>
        <w:t>la garanzia del</w:t>
      </w:r>
      <w:r w:rsidR="00F22DDE">
        <w:t>la risposta qualitativa e quantitativa alla domanda di salute del bacino di</w:t>
      </w:r>
      <w:r>
        <w:t xml:space="preserve"> </w:t>
      </w:r>
      <w:r w:rsidR="00F22DDE">
        <w:t>riferimento</w:t>
      </w:r>
      <w:r>
        <w:t xml:space="preserve">, </w:t>
      </w:r>
      <w:r w:rsidR="00F22DDE">
        <w:t>per</w:t>
      </w:r>
      <w:r>
        <w:t xml:space="preserve"> </w:t>
      </w:r>
      <w:r w:rsidR="00F22DDE">
        <w:t>le aree</w:t>
      </w:r>
      <w:r>
        <w:t xml:space="preserve"> </w:t>
      </w:r>
      <w:r w:rsidR="00F22DDE">
        <w:t>di</w:t>
      </w:r>
      <w:r>
        <w:t xml:space="preserve"> </w:t>
      </w:r>
      <w:r w:rsidR="00F22DDE">
        <w:t>intervento</w:t>
      </w:r>
      <w:r>
        <w:t xml:space="preserve"> </w:t>
      </w:r>
      <w:r w:rsidR="00F22DDE">
        <w:t>di</w:t>
      </w:r>
      <w:r>
        <w:t xml:space="preserve"> </w:t>
      </w:r>
      <w:r w:rsidR="00F22DDE">
        <w:t>base</w:t>
      </w:r>
      <w:r>
        <w:t xml:space="preserve">, </w:t>
      </w:r>
      <w:r w:rsidR="00F22DDE">
        <w:t>valorizzando la</w:t>
      </w:r>
      <w:r>
        <w:t xml:space="preserve"> </w:t>
      </w:r>
      <w:r w:rsidR="00F22DDE">
        <w:t>vocazione</w:t>
      </w:r>
      <w:r>
        <w:t xml:space="preserve"> Aziendale nell’assistenza ai</w:t>
      </w:r>
      <w:r w:rsidR="00F22DDE">
        <w:t xml:space="preserve"> </w:t>
      </w:r>
      <w:r>
        <w:t xml:space="preserve">pazienti </w:t>
      </w:r>
      <w:r w:rsidR="00F22DDE">
        <w:t>acuti</w:t>
      </w:r>
      <w:r>
        <w:t>;</w:t>
      </w:r>
    </w:p>
    <w:p w:rsidR="00F22DDE" w:rsidRDefault="007C5B11" w:rsidP="007D468B">
      <w:pPr>
        <w:pStyle w:val="Paragrafoelenco"/>
        <w:numPr>
          <w:ilvl w:val="0"/>
          <w:numId w:val="3"/>
        </w:numPr>
        <w:jc w:val="both"/>
      </w:pPr>
      <w:r>
        <w:t xml:space="preserve">il </w:t>
      </w:r>
      <w:r w:rsidR="00F22DDE">
        <w:t>favorire</w:t>
      </w:r>
      <w:r>
        <w:t xml:space="preserve"> </w:t>
      </w:r>
      <w:r w:rsidR="00F22DDE">
        <w:t>lo</w:t>
      </w:r>
      <w:r>
        <w:t xml:space="preserve"> </w:t>
      </w:r>
      <w:r w:rsidR="00F22DDE">
        <w:t>sviluppo dei</w:t>
      </w:r>
      <w:r>
        <w:t xml:space="preserve"> </w:t>
      </w:r>
      <w:r w:rsidR="00F22DDE">
        <w:t>necessari</w:t>
      </w:r>
      <w:r>
        <w:t xml:space="preserve"> p</w:t>
      </w:r>
      <w:r w:rsidR="00F22DDE">
        <w:t>rocessi</w:t>
      </w:r>
      <w:r>
        <w:t xml:space="preserve"> </w:t>
      </w:r>
      <w:r w:rsidR="00F22DDE">
        <w:t>di</w:t>
      </w:r>
      <w:r>
        <w:t xml:space="preserve"> </w:t>
      </w:r>
      <w:r w:rsidR="00F22DDE">
        <w:t xml:space="preserve">integrazione, al </w:t>
      </w:r>
      <w:r>
        <w:t>p</w:t>
      </w:r>
      <w:r w:rsidR="00F22DDE">
        <w:t>roprio interno e</w:t>
      </w:r>
      <w:r>
        <w:t xml:space="preserve"> </w:t>
      </w:r>
      <w:r w:rsidR="00F22DDE">
        <w:t xml:space="preserve">nei rapporti con le altre strutture sanitarie e territoriali, volti ad assicurare ai pazienti la continuità assistenziale. </w:t>
      </w:r>
    </w:p>
    <w:p w:rsidR="003F64A7" w:rsidRDefault="003F64A7" w:rsidP="0066387E">
      <w:pPr>
        <w:jc w:val="both"/>
        <w:rPr>
          <w:b/>
        </w:rPr>
      </w:pPr>
    </w:p>
    <w:p w:rsidR="003F64A7" w:rsidRDefault="003F64A7" w:rsidP="0066387E">
      <w:pPr>
        <w:jc w:val="both"/>
        <w:rPr>
          <w:b/>
        </w:rPr>
      </w:pPr>
    </w:p>
    <w:p w:rsidR="003F64A7" w:rsidRDefault="003F64A7" w:rsidP="0066387E">
      <w:pPr>
        <w:jc w:val="both"/>
        <w:rPr>
          <w:b/>
        </w:rPr>
      </w:pPr>
    </w:p>
    <w:p w:rsidR="003F64A7" w:rsidRDefault="003F64A7" w:rsidP="0066387E">
      <w:pPr>
        <w:jc w:val="both"/>
        <w:rPr>
          <w:b/>
        </w:rPr>
      </w:pPr>
    </w:p>
    <w:p w:rsidR="006570F6" w:rsidRDefault="006570F6" w:rsidP="0066387E">
      <w:pPr>
        <w:jc w:val="both"/>
        <w:rPr>
          <w:b/>
        </w:rPr>
      </w:pPr>
    </w:p>
    <w:p w:rsidR="003F64A7" w:rsidRDefault="003F64A7" w:rsidP="0066387E">
      <w:pPr>
        <w:jc w:val="both"/>
        <w:rPr>
          <w:b/>
        </w:rPr>
      </w:pPr>
    </w:p>
    <w:p w:rsidR="003F64A7" w:rsidRDefault="003F64A7" w:rsidP="0066387E">
      <w:pPr>
        <w:jc w:val="both"/>
        <w:rPr>
          <w:b/>
        </w:rPr>
      </w:pPr>
    </w:p>
    <w:p w:rsidR="00953FCB" w:rsidRPr="0066387E" w:rsidRDefault="00953FCB" w:rsidP="0066387E">
      <w:pPr>
        <w:jc w:val="both"/>
        <w:rPr>
          <w:b/>
        </w:rPr>
      </w:pPr>
      <w:r w:rsidRPr="0066387E">
        <w:rPr>
          <w:b/>
        </w:rPr>
        <w:lastRenderedPageBreak/>
        <w:t xml:space="preserve">3. Identità </w:t>
      </w:r>
    </w:p>
    <w:p w:rsidR="00953FCB" w:rsidRPr="00F7104F" w:rsidRDefault="00953FCB" w:rsidP="0066387E">
      <w:pPr>
        <w:jc w:val="both"/>
        <w:rPr>
          <w:b/>
          <w:i/>
          <w:color w:val="0070C0"/>
        </w:rPr>
      </w:pPr>
      <w:r w:rsidRPr="00F7104F">
        <w:rPr>
          <w:b/>
          <w:i/>
          <w:color w:val="0070C0"/>
        </w:rPr>
        <w:t xml:space="preserve">3.1 L’amministrazione in cifre </w:t>
      </w:r>
    </w:p>
    <w:p w:rsidR="00953FCB" w:rsidRDefault="00953FCB" w:rsidP="0066387E">
      <w:pPr>
        <w:jc w:val="both"/>
      </w:pPr>
      <w:r>
        <w:t xml:space="preserve">Il personale in servizio al </w:t>
      </w:r>
      <w:r w:rsidR="005E070E">
        <w:t>Dicembre</w:t>
      </w:r>
      <w:r>
        <w:t xml:space="preserve"> 201</w:t>
      </w:r>
      <w:r w:rsidR="005E070E">
        <w:t>5</w:t>
      </w:r>
      <w:r>
        <w:t xml:space="preserve"> è pari a </w:t>
      </w:r>
      <w:r w:rsidR="00E37306">
        <w:t>2.810</w:t>
      </w:r>
      <w:r>
        <w:t xml:space="preserve"> unità</w:t>
      </w:r>
      <w:r w:rsidR="00EC6429">
        <w:t xml:space="preserve"> (teste pesate)</w:t>
      </w:r>
      <w:r>
        <w:t xml:space="preserve">: la tabella che segue contiene alcuni dati descrittivi riguardanti le risorse umane impiegate presso l’ARNAS. </w:t>
      </w:r>
    </w:p>
    <w:p w:rsidR="0066387E" w:rsidRPr="00FC0446" w:rsidRDefault="0066387E" w:rsidP="0066387E">
      <w:pPr>
        <w:rPr>
          <w:color w:val="000066"/>
          <w:sz w:val="20"/>
          <w:szCs w:val="20"/>
        </w:rPr>
      </w:pPr>
      <w:r w:rsidRPr="00FC0446">
        <w:rPr>
          <w:color w:val="000066"/>
          <w:sz w:val="20"/>
          <w:szCs w:val="20"/>
        </w:rPr>
        <w:t xml:space="preserve">Analisi caratteri qualitativi/quantitativi delle risorse umane </w:t>
      </w:r>
    </w:p>
    <w:tbl>
      <w:tblPr>
        <w:tblW w:w="9808" w:type="dxa"/>
        <w:tblInd w:w="112" w:type="dxa"/>
        <w:tblCellMar>
          <w:left w:w="10" w:type="dxa"/>
          <w:right w:w="10" w:type="dxa"/>
        </w:tblCellMar>
        <w:tblLook w:val="0000" w:firstRow="0" w:lastRow="0" w:firstColumn="0" w:lastColumn="0" w:noHBand="0" w:noVBand="0"/>
      </w:tblPr>
      <w:tblGrid>
        <w:gridCol w:w="7238"/>
        <w:gridCol w:w="2570"/>
      </w:tblGrid>
      <w:tr w:rsidR="0066387E" w:rsidTr="00493EB2">
        <w:trPr>
          <w:trHeight w:hRule="exact" w:val="239"/>
        </w:trPr>
        <w:tc>
          <w:tcPr>
            <w:tcW w:w="7238"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6240" w:type="dxa"/>
            </w:tcMar>
          </w:tcPr>
          <w:p w:rsidR="0066387E" w:rsidRPr="00FC0446" w:rsidRDefault="0066387E" w:rsidP="007D468B">
            <w:pPr>
              <w:spacing w:before="14" w:line="222" w:lineRule="exact"/>
              <w:ind w:right="-113"/>
            </w:pPr>
            <w:r w:rsidRPr="00FC0446">
              <w:rPr>
                <w:rFonts w:eastAsia="Arial" w:cs="Arial"/>
                <w:bCs/>
                <w:i/>
                <w:iCs/>
                <w:spacing w:val="4"/>
                <w:sz w:val="19"/>
                <w:szCs w:val="19"/>
              </w:rPr>
              <w:t>Indicatori</w:t>
            </w:r>
            <w:r w:rsidRPr="00FC0446">
              <w:rPr>
                <w:rFonts w:eastAsia="Arial" w:cs="Arial"/>
                <w:bCs/>
                <w:i/>
                <w:iCs/>
                <w:color w:val="000000"/>
                <w:spacing w:val="8"/>
                <w:sz w:val="19"/>
                <w:szCs w:val="19"/>
              </w:rPr>
              <w:t xml:space="preserve"> </w:t>
            </w:r>
          </w:p>
        </w:tc>
        <w:tc>
          <w:tcPr>
            <w:tcW w:w="2570" w:type="dxa"/>
            <w:tcBorders>
              <w:top w:val="single" w:sz="1" w:space="0" w:color="000000"/>
              <w:left w:val="single" w:sz="1" w:space="0" w:color="000000"/>
              <w:bottom w:val="single" w:sz="1" w:space="0" w:color="000000"/>
              <w:right w:val="single" w:sz="1" w:space="0" w:color="000000"/>
            </w:tcBorders>
            <w:shd w:val="clear" w:color="auto" w:fill="FFFFFF"/>
            <w:tcMar>
              <w:left w:w="948" w:type="dxa"/>
              <w:right w:w="882" w:type="dxa"/>
            </w:tcMar>
          </w:tcPr>
          <w:p w:rsidR="0066387E" w:rsidRPr="00493EB2" w:rsidRDefault="0066387E" w:rsidP="007D468B">
            <w:pPr>
              <w:spacing w:before="14" w:line="222" w:lineRule="exact"/>
              <w:ind w:right="-113"/>
              <w:rPr>
                <w:sz w:val="18"/>
                <w:szCs w:val="18"/>
              </w:rPr>
            </w:pPr>
            <w:r w:rsidRPr="00493EB2">
              <w:rPr>
                <w:rFonts w:eastAsia="Arial" w:cs="Arial"/>
                <w:bCs/>
                <w:i/>
                <w:iCs/>
                <w:color w:val="000000"/>
                <w:spacing w:val="5"/>
                <w:sz w:val="18"/>
                <w:szCs w:val="18"/>
              </w:rPr>
              <w:t>Valore</w:t>
            </w:r>
            <w:r w:rsidRPr="00493EB2">
              <w:rPr>
                <w:rFonts w:eastAsia="Arial" w:cs="Arial"/>
                <w:color w:val="000000"/>
                <w:spacing w:val="4"/>
                <w:sz w:val="18"/>
                <w:szCs w:val="18"/>
              </w:rPr>
              <w:t xml:space="preserve"> </w:t>
            </w:r>
          </w:p>
        </w:tc>
      </w:tr>
      <w:tr w:rsidR="0066387E" w:rsidTr="00493EB2">
        <w:trPr>
          <w:trHeight w:hRule="exact" w:val="239"/>
        </w:trPr>
        <w:tc>
          <w:tcPr>
            <w:tcW w:w="7238"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4416" w:type="dxa"/>
            </w:tcMar>
          </w:tcPr>
          <w:p w:rsidR="0066387E" w:rsidRPr="00FC0446" w:rsidRDefault="0066387E" w:rsidP="007D468B">
            <w:pPr>
              <w:spacing w:before="14" w:line="222" w:lineRule="exact"/>
              <w:ind w:right="-113"/>
            </w:pPr>
            <w:r w:rsidRPr="00FC0446">
              <w:rPr>
                <w:rFonts w:eastAsia="Arial" w:cs="Arial"/>
                <w:color w:val="000000"/>
                <w:spacing w:val="4"/>
                <w:sz w:val="19"/>
                <w:szCs w:val="19"/>
              </w:rPr>
              <w:t>Età media del personale (anni)</w:t>
            </w:r>
            <w:r w:rsidRPr="00FC0446">
              <w:rPr>
                <w:rFonts w:eastAsia="Arial" w:cs="Arial"/>
                <w:color w:val="000000"/>
                <w:spacing w:val="19"/>
                <w:sz w:val="19"/>
                <w:szCs w:val="19"/>
              </w:rPr>
              <w:t xml:space="preserve"> </w:t>
            </w:r>
          </w:p>
        </w:tc>
        <w:tc>
          <w:tcPr>
            <w:tcW w:w="2570" w:type="dxa"/>
            <w:tcBorders>
              <w:top w:val="single" w:sz="1" w:space="0" w:color="000000"/>
              <w:left w:val="single" w:sz="1" w:space="0" w:color="000000"/>
              <w:bottom w:val="single" w:sz="1" w:space="0" w:color="000000"/>
              <w:right w:val="single" w:sz="1" w:space="0" w:color="000000"/>
            </w:tcBorders>
            <w:shd w:val="clear" w:color="auto" w:fill="FFFFFF"/>
            <w:tcMar>
              <w:left w:w="1061" w:type="dxa"/>
              <w:right w:w="993" w:type="dxa"/>
            </w:tcMar>
          </w:tcPr>
          <w:p w:rsidR="0066387E" w:rsidRPr="00493EB2" w:rsidRDefault="00EC6429" w:rsidP="0066387E">
            <w:pPr>
              <w:spacing w:before="14" w:line="222" w:lineRule="exact"/>
              <w:ind w:right="-113"/>
              <w:rPr>
                <w:sz w:val="18"/>
                <w:szCs w:val="18"/>
              </w:rPr>
            </w:pPr>
            <w:r w:rsidRPr="00493EB2">
              <w:rPr>
                <w:sz w:val="18"/>
                <w:szCs w:val="18"/>
              </w:rPr>
              <w:t>51</w:t>
            </w:r>
          </w:p>
          <w:p w:rsidR="00EC6429" w:rsidRPr="00493EB2" w:rsidRDefault="00EC6429" w:rsidP="0066387E">
            <w:pPr>
              <w:spacing w:before="14" w:line="222" w:lineRule="exact"/>
              <w:ind w:right="-113"/>
              <w:rPr>
                <w:sz w:val="18"/>
                <w:szCs w:val="18"/>
              </w:rPr>
            </w:pPr>
            <w:r w:rsidRPr="00493EB2">
              <w:rPr>
                <w:sz w:val="18"/>
                <w:szCs w:val="18"/>
              </w:rPr>
              <w:t>52</w:t>
            </w:r>
          </w:p>
        </w:tc>
      </w:tr>
      <w:tr w:rsidR="0066387E" w:rsidTr="00493EB2">
        <w:trPr>
          <w:trHeight w:hRule="exact" w:val="239"/>
        </w:trPr>
        <w:tc>
          <w:tcPr>
            <w:tcW w:w="7238"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4594" w:type="dxa"/>
            </w:tcMar>
          </w:tcPr>
          <w:p w:rsidR="0066387E" w:rsidRPr="00FC0446" w:rsidRDefault="0066387E" w:rsidP="007D468B">
            <w:pPr>
              <w:spacing w:before="14" w:line="222" w:lineRule="exact"/>
              <w:ind w:right="-113"/>
            </w:pPr>
            <w:r w:rsidRPr="00FC0446">
              <w:rPr>
                <w:rFonts w:eastAsia="Arial" w:cs="Arial"/>
                <w:color w:val="000000"/>
                <w:spacing w:val="4"/>
                <w:sz w:val="19"/>
                <w:szCs w:val="19"/>
              </w:rPr>
              <w:t>Età media dei dirigenti (anni)</w:t>
            </w:r>
            <w:r w:rsidRPr="00FC0446">
              <w:rPr>
                <w:rFonts w:eastAsia="Arial" w:cs="Arial"/>
                <w:color w:val="000000"/>
                <w:spacing w:val="10"/>
                <w:sz w:val="19"/>
                <w:szCs w:val="19"/>
              </w:rPr>
              <w:t xml:space="preserve"> </w:t>
            </w:r>
          </w:p>
        </w:tc>
        <w:tc>
          <w:tcPr>
            <w:tcW w:w="2570" w:type="dxa"/>
            <w:tcBorders>
              <w:top w:val="single" w:sz="1" w:space="0" w:color="000000"/>
              <w:left w:val="single" w:sz="1" w:space="0" w:color="000000"/>
              <w:bottom w:val="single" w:sz="1" w:space="0" w:color="000000"/>
              <w:right w:val="single" w:sz="1" w:space="0" w:color="000000"/>
            </w:tcBorders>
            <w:shd w:val="clear" w:color="auto" w:fill="FFFFFF"/>
            <w:tcMar>
              <w:left w:w="1061" w:type="dxa"/>
              <w:right w:w="993" w:type="dxa"/>
            </w:tcMar>
          </w:tcPr>
          <w:p w:rsidR="0066387E" w:rsidRPr="00493EB2" w:rsidRDefault="00EC6429" w:rsidP="007D468B">
            <w:pPr>
              <w:spacing w:before="14" w:line="222" w:lineRule="exact"/>
              <w:ind w:right="-113"/>
              <w:rPr>
                <w:sz w:val="18"/>
                <w:szCs w:val="18"/>
              </w:rPr>
            </w:pPr>
            <w:r w:rsidRPr="00493EB2">
              <w:rPr>
                <w:sz w:val="18"/>
                <w:szCs w:val="18"/>
              </w:rPr>
              <w:t>52</w:t>
            </w:r>
          </w:p>
        </w:tc>
      </w:tr>
      <w:tr w:rsidR="0066387E" w:rsidTr="00493EB2">
        <w:trPr>
          <w:trHeight w:hRule="exact" w:val="239"/>
        </w:trPr>
        <w:tc>
          <w:tcPr>
            <w:tcW w:w="7238"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2949" w:type="dxa"/>
            </w:tcMar>
          </w:tcPr>
          <w:p w:rsidR="0066387E" w:rsidRPr="00FC0446" w:rsidRDefault="0066387E" w:rsidP="007D468B">
            <w:pPr>
              <w:spacing w:before="14" w:line="222" w:lineRule="exact"/>
              <w:ind w:right="-113"/>
            </w:pPr>
            <w:r w:rsidRPr="00FC0446">
              <w:rPr>
                <w:rFonts w:eastAsia="Arial" w:cs="Arial"/>
                <w:color w:val="000000"/>
                <w:spacing w:val="4"/>
                <w:sz w:val="19"/>
                <w:szCs w:val="19"/>
              </w:rPr>
              <w:t>Percentuale di dipendenti in possesso di laurea</w:t>
            </w:r>
            <w:r w:rsidRPr="00FC0446">
              <w:rPr>
                <w:rFonts w:eastAsia="Arial" w:cs="Arial"/>
                <w:color w:val="000000"/>
                <w:spacing w:val="24"/>
                <w:sz w:val="19"/>
                <w:szCs w:val="19"/>
              </w:rPr>
              <w:t xml:space="preserve"> </w:t>
            </w:r>
          </w:p>
        </w:tc>
        <w:tc>
          <w:tcPr>
            <w:tcW w:w="2570" w:type="dxa"/>
            <w:tcBorders>
              <w:top w:val="single" w:sz="1" w:space="0" w:color="000000"/>
              <w:left w:val="single" w:sz="1" w:space="0" w:color="000000"/>
              <w:bottom w:val="single" w:sz="1" w:space="0" w:color="000000"/>
              <w:right w:val="single" w:sz="1" w:space="0" w:color="000000"/>
            </w:tcBorders>
            <w:shd w:val="clear" w:color="auto" w:fill="FFFFFF"/>
            <w:tcMar>
              <w:left w:w="1054" w:type="dxa"/>
              <w:right w:w="988" w:type="dxa"/>
            </w:tcMar>
          </w:tcPr>
          <w:p w:rsidR="0066387E" w:rsidRPr="00493EB2" w:rsidRDefault="00EC6429" w:rsidP="007D468B">
            <w:pPr>
              <w:spacing w:before="14" w:line="222" w:lineRule="exact"/>
              <w:ind w:right="-113"/>
              <w:rPr>
                <w:sz w:val="18"/>
                <w:szCs w:val="18"/>
              </w:rPr>
            </w:pPr>
            <w:r w:rsidRPr="00493EB2">
              <w:rPr>
                <w:sz w:val="18"/>
                <w:szCs w:val="18"/>
              </w:rPr>
              <w:t>45%</w:t>
            </w:r>
          </w:p>
        </w:tc>
      </w:tr>
      <w:tr w:rsidR="0066387E" w:rsidTr="00493EB2">
        <w:trPr>
          <w:trHeight w:hRule="exact" w:val="240"/>
        </w:trPr>
        <w:tc>
          <w:tcPr>
            <w:tcW w:w="7238"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3170" w:type="dxa"/>
            </w:tcMar>
          </w:tcPr>
          <w:p w:rsidR="0066387E" w:rsidRPr="00FC0446" w:rsidRDefault="0066387E" w:rsidP="007D468B">
            <w:pPr>
              <w:spacing w:before="14" w:line="222" w:lineRule="exact"/>
              <w:ind w:right="-113"/>
            </w:pPr>
            <w:r w:rsidRPr="00FC0446">
              <w:rPr>
                <w:rFonts w:eastAsia="Arial" w:cs="Arial"/>
                <w:color w:val="000000"/>
                <w:spacing w:val="4"/>
                <w:sz w:val="19"/>
                <w:szCs w:val="19"/>
              </w:rPr>
              <w:t>Percentuale di dirigenti in possesso di laurea</w:t>
            </w:r>
            <w:r w:rsidRPr="00FC0446">
              <w:rPr>
                <w:rFonts w:eastAsia="Arial" w:cs="Arial"/>
                <w:color w:val="000000"/>
                <w:spacing w:val="18"/>
                <w:sz w:val="19"/>
                <w:szCs w:val="19"/>
              </w:rPr>
              <w:t xml:space="preserve"> </w:t>
            </w:r>
          </w:p>
        </w:tc>
        <w:tc>
          <w:tcPr>
            <w:tcW w:w="2570" w:type="dxa"/>
            <w:tcBorders>
              <w:top w:val="single" w:sz="1" w:space="0" w:color="000000"/>
              <w:left w:val="single" w:sz="1" w:space="0" w:color="000000"/>
              <w:bottom w:val="single" w:sz="1" w:space="0" w:color="000000"/>
              <w:right w:val="single" w:sz="1" w:space="0" w:color="000000"/>
            </w:tcBorders>
            <w:shd w:val="clear" w:color="auto" w:fill="FFFFFF"/>
            <w:tcMar>
              <w:left w:w="998" w:type="dxa"/>
              <w:right w:w="933" w:type="dxa"/>
            </w:tcMar>
          </w:tcPr>
          <w:p w:rsidR="0066387E" w:rsidRPr="00493EB2" w:rsidRDefault="00EC6429" w:rsidP="007D468B">
            <w:pPr>
              <w:spacing w:before="14" w:line="222" w:lineRule="exact"/>
              <w:ind w:right="-113"/>
              <w:rPr>
                <w:sz w:val="18"/>
                <w:szCs w:val="18"/>
              </w:rPr>
            </w:pPr>
            <w:r w:rsidRPr="00493EB2">
              <w:rPr>
                <w:sz w:val="18"/>
                <w:szCs w:val="18"/>
              </w:rPr>
              <w:t>100%</w:t>
            </w:r>
          </w:p>
        </w:tc>
      </w:tr>
      <w:tr w:rsidR="0066387E" w:rsidTr="00493EB2">
        <w:trPr>
          <w:trHeight w:hRule="exact" w:val="239"/>
        </w:trPr>
        <w:tc>
          <w:tcPr>
            <w:tcW w:w="7238"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3293" w:type="dxa"/>
            </w:tcMar>
          </w:tcPr>
          <w:p w:rsidR="0066387E" w:rsidRPr="00FC0446" w:rsidRDefault="0066387E" w:rsidP="00AB5750">
            <w:pPr>
              <w:spacing w:before="14" w:line="222" w:lineRule="exact"/>
              <w:ind w:right="-113"/>
            </w:pPr>
            <w:r w:rsidRPr="00FC0446">
              <w:rPr>
                <w:rFonts w:eastAsia="Arial" w:cs="Arial"/>
                <w:color w:val="000000"/>
                <w:spacing w:val="4"/>
                <w:sz w:val="19"/>
                <w:szCs w:val="19"/>
              </w:rPr>
              <w:t xml:space="preserve">Ore di formazione media per dipendente </w:t>
            </w:r>
          </w:p>
        </w:tc>
        <w:tc>
          <w:tcPr>
            <w:tcW w:w="2570" w:type="dxa"/>
            <w:tcBorders>
              <w:top w:val="single" w:sz="1" w:space="0" w:color="000000"/>
              <w:left w:val="single" w:sz="1" w:space="0" w:color="000000"/>
              <w:bottom w:val="single" w:sz="1" w:space="0" w:color="000000"/>
              <w:right w:val="single" w:sz="1" w:space="0" w:color="000000"/>
            </w:tcBorders>
            <w:shd w:val="clear" w:color="auto" w:fill="FFFFFF"/>
            <w:tcMar>
              <w:left w:w="1200" w:type="dxa"/>
              <w:right w:w="1132" w:type="dxa"/>
            </w:tcMar>
          </w:tcPr>
          <w:p w:rsidR="0066387E" w:rsidRPr="00493EB2" w:rsidRDefault="00493EB2" w:rsidP="00493EB2">
            <w:pPr>
              <w:spacing w:before="14" w:line="222" w:lineRule="exact"/>
              <w:ind w:left="-81" w:right="-113"/>
              <w:rPr>
                <w:sz w:val="18"/>
                <w:szCs w:val="18"/>
              </w:rPr>
            </w:pPr>
            <w:r w:rsidRPr="00493EB2">
              <w:rPr>
                <w:sz w:val="18"/>
                <w:szCs w:val="18"/>
              </w:rPr>
              <w:t>11</w:t>
            </w:r>
          </w:p>
        </w:tc>
      </w:tr>
      <w:tr w:rsidR="00493EB2" w:rsidTr="00493EB2">
        <w:trPr>
          <w:trHeight w:hRule="exact" w:val="239"/>
        </w:trPr>
        <w:tc>
          <w:tcPr>
            <w:tcW w:w="7238"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3317" w:type="dxa"/>
            </w:tcMar>
          </w:tcPr>
          <w:p w:rsidR="00493EB2" w:rsidRPr="00FC0446" w:rsidRDefault="00493EB2" w:rsidP="00493EB2">
            <w:pPr>
              <w:spacing w:before="14" w:line="222" w:lineRule="exact"/>
              <w:ind w:right="-113"/>
            </w:pPr>
            <w:r w:rsidRPr="00FC0446">
              <w:rPr>
                <w:rFonts w:eastAsia="Arial" w:cs="Arial"/>
                <w:color w:val="000000"/>
                <w:spacing w:val="4"/>
                <w:sz w:val="19"/>
                <w:szCs w:val="19"/>
              </w:rPr>
              <w:t xml:space="preserve">Costi di formazione/spese del personale </w:t>
            </w:r>
          </w:p>
        </w:tc>
        <w:tc>
          <w:tcPr>
            <w:tcW w:w="2570" w:type="dxa"/>
            <w:tcBorders>
              <w:top w:val="single" w:sz="1" w:space="0" w:color="000000"/>
              <w:left w:val="single" w:sz="1" w:space="0" w:color="000000"/>
              <w:bottom w:val="single" w:sz="1" w:space="0" w:color="000000"/>
              <w:right w:val="single" w:sz="1" w:space="0" w:color="000000"/>
            </w:tcBorders>
            <w:shd w:val="clear" w:color="auto" w:fill="FFFFFF"/>
            <w:tcMar>
              <w:left w:w="698" w:type="dxa"/>
              <w:right w:w="628" w:type="dxa"/>
            </w:tcMar>
          </w:tcPr>
          <w:p w:rsidR="00493EB2" w:rsidRPr="00493EB2" w:rsidRDefault="00493EB2" w:rsidP="00493EB2">
            <w:pPr>
              <w:spacing w:before="14" w:line="222" w:lineRule="exact"/>
              <w:ind w:right="-113"/>
              <w:jc w:val="center"/>
              <w:rPr>
                <w:sz w:val="18"/>
                <w:szCs w:val="18"/>
              </w:rPr>
            </w:pPr>
            <w:r>
              <w:rPr>
                <w:sz w:val="18"/>
                <w:szCs w:val="18"/>
              </w:rPr>
              <w:t>70</w:t>
            </w:r>
            <w:r w:rsidRPr="00493EB2">
              <w:rPr>
                <w:sz w:val="18"/>
                <w:szCs w:val="18"/>
              </w:rPr>
              <w:t>.</w:t>
            </w:r>
            <w:r>
              <w:rPr>
                <w:sz w:val="18"/>
                <w:szCs w:val="18"/>
              </w:rPr>
              <w:t>000</w:t>
            </w:r>
            <w:r w:rsidRPr="00493EB2">
              <w:rPr>
                <w:sz w:val="18"/>
                <w:szCs w:val="18"/>
              </w:rPr>
              <w:t xml:space="preserve"> €</w:t>
            </w:r>
          </w:p>
        </w:tc>
      </w:tr>
    </w:tbl>
    <w:p w:rsidR="00953FCB" w:rsidRDefault="00953FCB" w:rsidP="00953FCB">
      <w:pPr>
        <w:ind w:firstLine="708"/>
        <w:jc w:val="both"/>
      </w:pPr>
    </w:p>
    <w:p w:rsidR="0066387E" w:rsidRPr="00FC0446" w:rsidRDefault="0066387E" w:rsidP="0066387E">
      <w:pPr>
        <w:rPr>
          <w:color w:val="000066"/>
          <w:sz w:val="20"/>
          <w:szCs w:val="20"/>
        </w:rPr>
      </w:pPr>
      <w:r w:rsidRPr="00FC0446">
        <w:rPr>
          <w:color w:val="000066"/>
          <w:sz w:val="20"/>
          <w:szCs w:val="20"/>
        </w:rPr>
        <w:t>Analisi Benessere Organizzativo</w:t>
      </w:r>
    </w:p>
    <w:tbl>
      <w:tblPr>
        <w:tblW w:w="9808" w:type="dxa"/>
        <w:tblInd w:w="112" w:type="dxa"/>
        <w:tblCellMar>
          <w:left w:w="10" w:type="dxa"/>
          <w:right w:w="10" w:type="dxa"/>
        </w:tblCellMar>
        <w:tblLook w:val="0000" w:firstRow="0" w:lastRow="0" w:firstColumn="0" w:lastColumn="0" w:noHBand="0" w:noVBand="0"/>
      </w:tblPr>
      <w:tblGrid>
        <w:gridCol w:w="7310"/>
        <w:gridCol w:w="2498"/>
      </w:tblGrid>
      <w:tr w:rsidR="0066387E" w:rsidTr="005E070E">
        <w:trPr>
          <w:trHeight w:hRule="exact" w:val="239"/>
        </w:trPr>
        <w:tc>
          <w:tcPr>
            <w:tcW w:w="7310"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6329" w:type="dxa"/>
            </w:tcMar>
          </w:tcPr>
          <w:p w:rsidR="0066387E" w:rsidRPr="00FC0446" w:rsidRDefault="0066387E" w:rsidP="007D468B">
            <w:pPr>
              <w:spacing w:before="12" w:line="222" w:lineRule="exact"/>
              <w:ind w:right="-113"/>
            </w:pPr>
            <w:r w:rsidRPr="00FC0446">
              <w:rPr>
                <w:rFonts w:eastAsia="Arial" w:cs="Arial"/>
                <w:i/>
                <w:iCs/>
                <w:color w:val="000000"/>
                <w:spacing w:val="4"/>
                <w:sz w:val="19"/>
                <w:szCs w:val="19"/>
              </w:rPr>
              <w:t xml:space="preserve">Indicatori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965" w:type="dxa"/>
              <w:right w:w="899" w:type="dxa"/>
            </w:tcMar>
          </w:tcPr>
          <w:p w:rsidR="0066387E" w:rsidRPr="00493EB2" w:rsidRDefault="0066387E" w:rsidP="00EC6429">
            <w:pPr>
              <w:spacing w:before="12" w:line="222" w:lineRule="exact"/>
              <w:ind w:right="-113"/>
              <w:jc w:val="center"/>
              <w:rPr>
                <w:sz w:val="18"/>
                <w:szCs w:val="18"/>
              </w:rPr>
            </w:pPr>
            <w:r w:rsidRPr="00493EB2">
              <w:rPr>
                <w:rFonts w:eastAsia="Arial" w:cs="Arial"/>
                <w:i/>
                <w:iCs/>
                <w:color w:val="000000"/>
                <w:spacing w:val="5"/>
                <w:sz w:val="18"/>
                <w:szCs w:val="18"/>
              </w:rPr>
              <w:t>Valore</w:t>
            </w:r>
          </w:p>
        </w:tc>
      </w:tr>
      <w:tr w:rsidR="0066387E" w:rsidTr="005E070E">
        <w:trPr>
          <w:trHeight w:hRule="exact" w:val="240"/>
        </w:trPr>
        <w:tc>
          <w:tcPr>
            <w:tcW w:w="7310"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5316" w:type="dxa"/>
            </w:tcMar>
          </w:tcPr>
          <w:p w:rsidR="0066387E" w:rsidRPr="00FC0446" w:rsidRDefault="0066387E" w:rsidP="00AB5750">
            <w:pPr>
              <w:spacing w:before="14" w:line="222" w:lineRule="exact"/>
              <w:ind w:right="-113"/>
            </w:pPr>
            <w:r w:rsidRPr="00FC0446">
              <w:rPr>
                <w:rFonts w:eastAsia="Arial" w:cs="Arial"/>
                <w:color w:val="000000"/>
                <w:spacing w:val="4"/>
                <w:sz w:val="19"/>
                <w:szCs w:val="19"/>
              </w:rPr>
              <w:t xml:space="preserve">Tasso di assenze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1054" w:type="dxa"/>
              <w:right w:w="988" w:type="dxa"/>
            </w:tcMar>
          </w:tcPr>
          <w:p w:rsidR="0066387E" w:rsidRPr="00493EB2" w:rsidRDefault="00EC6429" w:rsidP="00EC6429">
            <w:pPr>
              <w:spacing w:before="14" w:line="222" w:lineRule="exact"/>
              <w:ind w:right="-113"/>
              <w:jc w:val="center"/>
              <w:rPr>
                <w:sz w:val="18"/>
                <w:szCs w:val="18"/>
              </w:rPr>
            </w:pPr>
            <w:r w:rsidRPr="00493EB2">
              <w:rPr>
                <w:sz w:val="18"/>
                <w:szCs w:val="18"/>
              </w:rPr>
              <w:t>21%</w:t>
            </w:r>
          </w:p>
        </w:tc>
      </w:tr>
      <w:tr w:rsidR="0066387E" w:rsidTr="005E070E">
        <w:trPr>
          <w:trHeight w:hRule="exact" w:val="239"/>
        </w:trPr>
        <w:tc>
          <w:tcPr>
            <w:tcW w:w="7310"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3259" w:type="dxa"/>
            </w:tcMar>
          </w:tcPr>
          <w:p w:rsidR="0066387E" w:rsidRPr="00FC0446" w:rsidRDefault="0066387E" w:rsidP="00AB5750">
            <w:pPr>
              <w:spacing w:before="14" w:line="222" w:lineRule="exact"/>
              <w:ind w:right="-113"/>
            </w:pPr>
            <w:r w:rsidRPr="00FC0446">
              <w:rPr>
                <w:rFonts w:eastAsia="Arial" w:cs="Arial"/>
                <w:color w:val="000000"/>
                <w:spacing w:val="4"/>
                <w:sz w:val="19"/>
                <w:szCs w:val="19"/>
              </w:rPr>
              <w:t xml:space="preserve">Stipendio </w:t>
            </w:r>
            <w:r w:rsidR="00AB5750" w:rsidRPr="00FC0446">
              <w:rPr>
                <w:rFonts w:eastAsia="Arial" w:cs="Arial"/>
                <w:color w:val="000000"/>
                <w:spacing w:val="4"/>
                <w:sz w:val="19"/>
                <w:szCs w:val="19"/>
              </w:rPr>
              <w:t xml:space="preserve">medio percepito dai dipendenti </w:t>
            </w:r>
            <w:r w:rsidRPr="00FC0446">
              <w:rPr>
                <w:rFonts w:eastAsia="Arial" w:cs="Arial"/>
                <w:color w:val="000000"/>
                <w:spacing w:val="21"/>
                <w:sz w:val="19"/>
                <w:szCs w:val="19"/>
              </w:rPr>
              <w:t xml:space="preserv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698" w:type="dxa"/>
              <w:right w:w="633" w:type="dxa"/>
            </w:tcMar>
          </w:tcPr>
          <w:p w:rsidR="0066387E" w:rsidRPr="00493EB2" w:rsidRDefault="00EC6429" w:rsidP="00EC6429">
            <w:pPr>
              <w:spacing w:before="14" w:line="222" w:lineRule="exact"/>
              <w:ind w:right="-113"/>
              <w:jc w:val="center"/>
              <w:rPr>
                <w:sz w:val="18"/>
                <w:szCs w:val="18"/>
              </w:rPr>
            </w:pPr>
            <w:r w:rsidRPr="00493EB2">
              <w:rPr>
                <w:sz w:val="18"/>
                <w:szCs w:val="18"/>
              </w:rPr>
              <w:t>52.609 €</w:t>
            </w:r>
          </w:p>
        </w:tc>
      </w:tr>
      <w:tr w:rsidR="0066387E" w:rsidTr="005E070E">
        <w:trPr>
          <w:trHeight w:hRule="exact" w:val="239"/>
        </w:trPr>
        <w:tc>
          <w:tcPr>
            <w:tcW w:w="7310"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2126" w:type="dxa"/>
            </w:tcMar>
          </w:tcPr>
          <w:p w:rsidR="0066387E" w:rsidRPr="00FC0446" w:rsidRDefault="0066387E" w:rsidP="007D468B">
            <w:pPr>
              <w:spacing w:before="14" w:line="222" w:lineRule="exact"/>
              <w:ind w:right="-113"/>
            </w:pPr>
            <w:r w:rsidRPr="00FC0446">
              <w:rPr>
                <w:rFonts w:eastAsia="Arial" w:cs="Arial"/>
                <w:color w:val="000000"/>
                <w:spacing w:val="4"/>
                <w:sz w:val="19"/>
                <w:szCs w:val="19"/>
              </w:rPr>
              <w:t>Percentuale di personale assunto a tempo indeterminato</w:t>
            </w:r>
            <w:r w:rsidRPr="00FC0446">
              <w:rPr>
                <w:rFonts w:eastAsia="Arial" w:cs="Arial"/>
                <w:color w:val="000000"/>
                <w:spacing w:val="37"/>
                <w:sz w:val="19"/>
                <w:szCs w:val="19"/>
              </w:rPr>
              <w:t xml:space="preserv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972" w:type="dxa"/>
              <w:right w:w="899" w:type="dxa"/>
            </w:tcMar>
          </w:tcPr>
          <w:p w:rsidR="0066387E" w:rsidRPr="00493EB2" w:rsidRDefault="00EC6429" w:rsidP="00EC6429">
            <w:pPr>
              <w:spacing w:line="265" w:lineRule="exact"/>
              <w:ind w:right="-113"/>
              <w:jc w:val="center"/>
              <w:rPr>
                <w:sz w:val="18"/>
                <w:szCs w:val="18"/>
              </w:rPr>
            </w:pPr>
            <w:r w:rsidRPr="00493EB2">
              <w:rPr>
                <w:sz w:val="18"/>
                <w:szCs w:val="18"/>
              </w:rPr>
              <w:t>92%</w:t>
            </w:r>
          </w:p>
        </w:tc>
      </w:tr>
    </w:tbl>
    <w:p w:rsidR="0066387E" w:rsidRPr="0066387E" w:rsidRDefault="0066387E" w:rsidP="0066387E">
      <w:pPr>
        <w:rPr>
          <w:color w:val="000066"/>
        </w:rPr>
      </w:pPr>
      <w:r w:rsidRPr="0066387E">
        <w:rPr>
          <w:color w:val="000066"/>
        </w:rPr>
        <w:t xml:space="preserve"> </w:t>
      </w:r>
    </w:p>
    <w:p w:rsidR="0066387E" w:rsidRPr="00FC0446" w:rsidRDefault="0066387E" w:rsidP="0066387E">
      <w:pPr>
        <w:rPr>
          <w:color w:val="000066"/>
          <w:sz w:val="20"/>
          <w:szCs w:val="20"/>
        </w:rPr>
      </w:pPr>
      <w:r w:rsidRPr="00FC0446">
        <w:rPr>
          <w:color w:val="000066"/>
          <w:sz w:val="20"/>
          <w:szCs w:val="20"/>
        </w:rPr>
        <w:t>Analisi di Genere delle Risorse Umane</w:t>
      </w:r>
    </w:p>
    <w:tbl>
      <w:tblPr>
        <w:tblW w:w="9808" w:type="dxa"/>
        <w:tblInd w:w="112" w:type="dxa"/>
        <w:tblCellMar>
          <w:left w:w="10" w:type="dxa"/>
          <w:right w:w="10" w:type="dxa"/>
        </w:tblCellMar>
        <w:tblLook w:val="0000" w:firstRow="0" w:lastRow="0" w:firstColumn="0" w:lastColumn="0" w:noHBand="0" w:noVBand="0"/>
      </w:tblPr>
      <w:tblGrid>
        <w:gridCol w:w="7288"/>
        <w:gridCol w:w="2520"/>
      </w:tblGrid>
      <w:tr w:rsidR="0066387E" w:rsidTr="007D468B">
        <w:trPr>
          <w:trHeight w:hRule="exact" w:val="240"/>
        </w:trPr>
        <w:tc>
          <w:tcPr>
            <w:tcW w:w="7309"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6329" w:type="dxa"/>
            </w:tcMar>
          </w:tcPr>
          <w:p w:rsidR="0066387E" w:rsidRPr="00FC0446" w:rsidRDefault="0066387E" w:rsidP="007D468B">
            <w:pPr>
              <w:spacing w:before="12" w:line="222" w:lineRule="exact"/>
              <w:ind w:right="-113"/>
            </w:pPr>
            <w:r w:rsidRPr="00FC0446">
              <w:rPr>
                <w:rFonts w:eastAsia="Arial" w:cs="Arial"/>
                <w:i/>
                <w:iCs/>
                <w:color w:val="000000"/>
                <w:spacing w:val="4"/>
                <w:sz w:val="19"/>
                <w:szCs w:val="19"/>
              </w:rPr>
              <w:t>Indicatori</w:t>
            </w:r>
            <w:r w:rsidRPr="00FC0446">
              <w:rPr>
                <w:rFonts w:eastAsia="Arial" w:cs="Arial"/>
                <w:b/>
                <w:bCs/>
                <w:i/>
                <w:iCs/>
                <w:color w:val="000000"/>
                <w:spacing w:val="4"/>
                <w:sz w:val="19"/>
                <w:szCs w:val="19"/>
              </w:rPr>
              <w:t xml:space="preserv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948" w:type="dxa"/>
              <w:right w:w="882" w:type="dxa"/>
            </w:tcMar>
          </w:tcPr>
          <w:p w:rsidR="0066387E" w:rsidRPr="00493EB2" w:rsidRDefault="0066387E" w:rsidP="00EC6429">
            <w:pPr>
              <w:spacing w:before="14" w:line="222" w:lineRule="exact"/>
              <w:ind w:right="-113"/>
              <w:jc w:val="center"/>
              <w:rPr>
                <w:sz w:val="18"/>
                <w:szCs w:val="18"/>
              </w:rPr>
            </w:pPr>
            <w:r w:rsidRPr="00493EB2">
              <w:rPr>
                <w:rFonts w:eastAsia="Arial" w:cs="Arial"/>
                <w:b/>
                <w:bCs/>
                <w:i/>
                <w:iCs/>
                <w:color w:val="000000"/>
                <w:spacing w:val="5"/>
                <w:sz w:val="18"/>
                <w:szCs w:val="18"/>
              </w:rPr>
              <w:t>Valore</w:t>
            </w:r>
          </w:p>
        </w:tc>
      </w:tr>
      <w:tr w:rsidR="0066387E" w:rsidTr="007D468B">
        <w:trPr>
          <w:trHeight w:hRule="exact" w:val="239"/>
        </w:trPr>
        <w:tc>
          <w:tcPr>
            <w:tcW w:w="7309"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4493" w:type="dxa"/>
            </w:tcMar>
          </w:tcPr>
          <w:p w:rsidR="0066387E" w:rsidRPr="00FC0446" w:rsidRDefault="0066387E" w:rsidP="007D468B">
            <w:pPr>
              <w:spacing w:before="14" w:line="222" w:lineRule="exact"/>
              <w:ind w:right="-113"/>
            </w:pPr>
            <w:r w:rsidRPr="00FC0446">
              <w:rPr>
                <w:rFonts w:eastAsia="Arial" w:cs="Arial"/>
                <w:color w:val="000000"/>
                <w:spacing w:val="4"/>
                <w:sz w:val="19"/>
                <w:szCs w:val="19"/>
              </w:rPr>
              <w:t>Percentuale di dirigenti donne</w:t>
            </w:r>
            <w:r w:rsidRPr="00FC0446">
              <w:rPr>
                <w:rFonts w:eastAsia="Arial" w:cs="Arial"/>
                <w:color w:val="000000"/>
                <w:spacing w:val="16"/>
                <w:sz w:val="19"/>
                <w:szCs w:val="19"/>
              </w:rPr>
              <w:t xml:space="preserv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972" w:type="dxa"/>
              <w:right w:w="904" w:type="dxa"/>
            </w:tcMar>
          </w:tcPr>
          <w:p w:rsidR="0066387E" w:rsidRPr="00493EB2" w:rsidRDefault="00EC6429" w:rsidP="00EC6429">
            <w:pPr>
              <w:spacing w:before="14" w:line="222" w:lineRule="exact"/>
              <w:ind w:right="-113"/>
              <w:jc w:val="center"/>
              <w:rPr>
                <w:sz w:val="18"/>
                <w:szCs w:val="18"/>
              </w:rPr>
            </w:pPr>
            <w:r w:rsidRPr="00493EB2">
              <w:rPr>
                <w:sz w:val="18"/>
                <w:szCs w:val="18"/>
              </w:rPr>
              <w:t>43%</w:t>
            </w:r>
          </w:p>
        </w:tc>
      </w:tr>
      <w:tr w:rsidR="0066387E" w:rsidTr="007D468B">
        <w:trPr>
          <w:trHeight w:hRule="exact" w:val="239"/>
        </w:trPr>
        <w:tc>
          <w:tcPr>
            <w:tcW w:w="7309"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2525" w:type="dxa"/>
            </w:tcMar>
          </w:tcPr>
          <w:p w:rsidR="0066387E" w:rsidRPr="00FC0446" w:rsidRDefault="0066387E" w:rsidP="007D468B">
            <w:pPr>
              <w:spacing w:before="14" w:line="222" w:lineRule="exact"/>
              <w:ind w:right="-113"/>
            </w:pPr>
            <w:r w:rsidRPr="00FC0446">
              <w:rPr>
                <w:rFonts w:eastAsia="Arial" w:cs="Arial"/>
                <w:color w:val="000000"/>
                <w:spacing w:val="4"/>
                <w:sz w:val="19"/>
                <w:szCs w:val="19"/>
              </w:rPr>
              <w:t>Percentuale di donne rispetto al totale del personale</w:t>
            </w:r>
            <w:r w:rsidRPr="00FC0446">
              <w:rPr>
                <w:rFonts w:eastAsia="Arial" w:cs="Arial"/>
                <w:color w:val="000000"/>
                <w:spacing w:val="23"/>
                <w:sz w:val="19"/>
                <w:szCs w:val="19"/>
              </w:rPr>
              <w:t xml:space="preserv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914" w:type="dxa"/>
              <w:right w:w="849" w:type="dxa"/>
            </w:tcMar>
          </w:tcPr>
          <w:p w:rsidR="0066387E" w:rsidRPr="00493EB2" w:rsidRDefault="00EC6429" w:rsidP="00EC6429">
            <w:pPr>
              <w:spacing w:before="14" w:line="222" w:lineRule="exact"/>
              <w:ind w:right="-113"/>
              <w:jc w:val="center"/>
              <w:rPr>
                <w:sz w:val="18"/>
                <w:szCs w:val="18"/>
              </w:rPr>
            </w:pPr>
            <w:r w:rsidRPr="00493EB2">
              <w:rPr>
                <w:sz w:val="18"/>
                <w:szCs w:val="18"/>
              </w:rPr>
              <w:t>51%</w:t>
            </w:r>
          </w:p>
        </w:tc>
      </w:tr>
      <w:tr w:rsidR="0066387E" w:rsidTr="007D468B">
        <w:trPr>
          <w:trHeight w:hRule="exact" w:val="239"/>
        </w:trPr>
        <w:tc>
          <w:tcPr>
            <w:tcW w:w="7309"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1516" w:type="dxa"/>
            </w:tcMar>
          </w:tcPr>
          <w:p w:rsidR="0066387E" w:rsidRPr="00FC0446" w:rsidRDefault="0066387E" w:rsidP="007D468B">
            <w:pPr>
              <w:spacing w:before="14" w:line="222" w:lineRule="exact"/>
              <w:ind w:right="-113"/>
            </w:pPr>
            <w:r w:rsidRPr="00FC0446">
              <w:rPr>
                <w:rFonts w:eastAsia="Arial" w:cs="Arial"/>
                <w:color w:val="000000"/>
                <w:spacing w:val="5"/>
                <w:sz w:val="19"/>
                <w:szCs w:val="19"/>
              </w:rPr>
              <w:t>Percentuale di personale donna assunto a tempo indeterminato</w:t>
            </w:r>
            <w:r w:rsidRPr="00FC0446">
              <w:rPr>
                <w:rFonts w:eastAsia="Arial" w:cs="Arial"/>
                <w:color w:val="000000"/>
                <w:spacing w:val="-17"/>
                <w:sz w:val="19"/>
                <w:szCs w:val="19"/>
              </w:rPr>
              <w:t xml:space="preserv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972" w:type="dxa"/>
              <w:right w:w="904" w:type="dxa"/>
            </w:tcMar>
          </w:tcPr>
          <w:p w:rsidR="0066387E" w:rsidRPr="00493EB2" w:rsidRDefault="00EC6429" w:rsidP="00EC6429">
            <w:pPr>
              <w:spacing w:before="14" w:line="222" w:lineRule="exact"/>
              <w:ind w:right="-113"/>
              <w:jc w:val="center"/>
              <w:rPr>
                <w:sz w:val="18"/>
                <w:szCs w:val="18"/>
              </w:rPr>
            </w:pPr>
            <w:r w:rsidRPr="00493EB2">
              <w:rPr>
                <w:sz w:val="18"/>
                <w:szCs w:val="18"/>
              </w:rPr>
              <w:t>92%</w:t>
            </w:r>
          </w:p>
        </w:tc>
      </w:tr>
      <w:tr w:rsidR="0066387E" w:rsidTr="007D468B">
        <w:trPr>
          <w:trHeight w:hRule="exact" w:val="237"/>
        </w:trPr>
        <w:tc>
          <w:tcPr>
            <w:tcW w:w="7309"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2628" w:type="dxa"/>
            </w:tcMar>
          </w:tcPr>
          <w:p w:rsidR="0066387E" w:rsidRPr="00FC0446" w:rsidRDefault="0066387E" w:rsidP="007D468B">
            <w:pPr>
              <w:spacing w:before="14" w:line="222" w:lineRule="exact"/>
              <w:ind w:right="-113"/>
            </w:pPr>
            <w:r w:rsidRPr="00FC0446">
              <w:rPr>
                <w:rFonts w:eastAsia="Arial" w:cs="Arial"/>
                <w:color w:val="000000"/>
                <w:spacing w:val="4"/>
                <w:sz w:val="19"/>
                <w:szCs w:val="19"/>
              </w:rPr>
              <w:t>Età media del personale femminile (dirigenti e non)</w:t>
            </w:r>
            <w:r w:rsidRPr="00FC0446">
              <w:rPr>
                <w:rFonts w:eastAsia="Arial" w:cs="Arial"/>
                <w:color w:val="000000"/>
                <w:spacing w:val="23"/>
                <w:sz w:val="19"/>
                <w:szCs w:val="19"/>
              </w:rPr>
              <w:t xml:space="preserv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1061" w:type="dxa"/>
              <w:right w:w="993" w:type="dxa"/>
            </w:tcMar>
          </w:tcPr>
          <w:p w:rsidR="0066387E" w:rsidRPr="00493EB2" w:rsidRDefault="00EC6429" w:rsidP="00EC6429">
            <w:pPr>
              <w:spacing w:before="14" w:line="222" w:lineRule="exact"/>
              <w:ind w:right="-113"/>
              <w:jc w:val="center"/>
              <w:rPr>
                <w:sz w:val="18"/>
                <w:szCs w:val="18"/>
              </w:rPr>
            </w:pPr>
            <w:r w:rsidRPr="00493EB2">
              <w:rPr>
                <w:sz w:val="18"/>
                <w:szCs w:val="18"/>
              </w:rPr>
              <w:t>51</w:t>
            </w:r>
          </w:p>
        </w:tc>
      </w:tr>
      <w:tr w:rsidR="0066387E" w:rsidTr="007D468B">
        <w:trPr>
          <w:trHeight w:hRule="exact" w:val="240"/>
        </w:trPr>
        <w:tc>
          <w:tcPr>
            <w:tcW w:w="7309"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3026" w:type="dxa"/>
            </w:tcMar>
          </w:tcPr>
          <w:p w:rsidR="0066387E" w:rsidRPr="00FC0446" w:rsidRDefault="0066387E" w:rsidP="007D468B">
            <w:pPr>
              <w:spacing w:before="16" w:line="222" w:lineRule="exact"/>
              <w:ind w:right="-113"/>
            </w:pPr>
            <w:r w:rsidRPr="00FC0446">
              <w:rPr>
                <w:rFonts w:eastAsia="Arial" w:cs="Arial"/>
                <w:color w:val="000000"/>
                <w:spacing w:val="4"/>
                <w:sz w:val="19"/>
                <w:szCs w:val="19"/>
              </w:rPr>
              <w:t>Percentuale di personale femminile con laurea</w:t>
            </w:r>
            <w:r w:rsidRPr="00FC0446">
              <w:rPr>
                <w:rFonts w:eastAsia="Arial" w:cs="Arial"/>
                <w:color w:val="000000"/>
                <w:spacing w:val="29"/>
                <w:sz w:val="19"/>
                <w:szCs w:val="19"/>
              </w:rPr>
              <w:t xml:space="preserv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1054" w:type="dxa"/>
              <w:right w:w="988" w:type="dxa"/>
            </w:tcMar>
          </w:tcPr>
          <w:p w:rsidR="0066387E" w:rsidRPr="00493EB2" w:rsidRDefault="00EC6429" w:rsidP="00EC6429">
            <w:pPr>
              <w:spacing w:before="16" w:line="222" w:lineRule="exact"/>
              <w:ind w:right="-113"/>
              <w:jc w:val="center"/>
              <w:rPr>
                <w:sz w:val="18"/>
                <w:szCs w:val="18"/>
              </w:rPr>
            </w:pPr>
            <w:r w:rsidRPr="00493EB2">
              <w:rPr>
                <w:sz w:val="18"/>
                <w:szCs w:val="18"/>
              </w:rPr>
              <w:t>45%</w:t>
            </w:r>
          </w:p>
        </w:tc>
      </w:tr>
      <w:tr w:rsidR="0066387E" w:rsidTr="007D468B">
        <w:trPr>
          <w:trHeight w:hRule="exact" w:val="242"/>
        </w:trPr>
        <w:tc>
          <w:tcPr>
            <w:tcW w:w="7309" w:type="dxa"/>
            <w:tcBorders>
              <w:top w:val="single" w:sz="1" w:space="0" w:color="000000"/>
              <w:left w:val="single" w:sz="1" w:space="0" w:color="000000"/>
              <w:bottom w:val="single" w:sz="1" w:space="0" w:color="000000"/>
              <w:right w:val="single" w:sz="1" w:space="0" w:color="000000"/>
            </w:tcBorders>
            <w:shd w:val="clear" w:color="auto" w:fill="FFFFFF"/>
            <w:tcMar>
              <w:left w:w="112" w:type="dxa"/>
              <w:right w:w="1591" w:type="dxa"/>
            </w:tcMar>
          </w:tcPr>
          <w:p w:rsidR="0066387E" w:rsidRPr="00FC0446" w:rsidRDefault="0066387E" w:rsidP="00AB5750">
            <w:pPr>
              <w:spacing w:before="16" w:line="222" w:lineRule="exact"/>
              <w:ind w:right="-113"/>
            </w:pPr>
            <w:r w:rsidRPr="00FC0446">
              <w:rPr>
                <w:rFonts w:eastAsia="Arial" w:cs="Arial"/>
                <w:color w:val="000000"/>
                <w:spacing w:val="4"/>
                <w:sz w:val="19"/>
                <w:szCs w:val="19"/>
              </w:rPr>
              <w:t xml:space="preserve">Ore di formazione media per dipendente di sesso femminile </w:t>
            </w:r>
          </w:p>
        </w:tc>
        <w:tc>
          <w:tcPr>
            <w:tcW w:w="2498" w:type="dxa"/>
            <w:tcBorders>
              <w:top w:val="single" w:sz="1" w:space="0" w:color="000000"/>
              <w:left w:val="single" w:sz="1" w:space="0" w:color="000000"/>
              <w:bottom w:val="single" w:sz="1" w:space="0" w:color="000000"/>
              <w:right w:val="single" w:sz="1" w:space="0" w:color="000000"/>
            </w:tcBorders>
            <w:shd w:val="clear" w:color="auto" w:fill="FFFFFF"/>
            <w:tcMar>
              <w:left w:w="1200" w:type="dxa"/>
              <w:right w:w="1137" w:type="dxa"/>
            </w:tcMar>
          </w:tcPr>
          <w:p w:rsidR="0066387E" w:rsidRPr="00493EB2" w:rsidRDefault="00493EB2" w:rsidP="00EC6429">
            <w:pPr>
              <w:spacing w:before="16" w:line="222" w:lineRule="exact"/>
              <w:ind w:right="-113"/>
              <w:jc w:val="center"/>
              <w:rPr>
                <w:sz w:val="18"/>
                <w:szCs w:val="18"/>
              </w:rPr>
            </w:pPr>
            <w:r>
              <w:rPr>
                <w:sz w:val="18"/>
                <w:szCs w:val="18"/>
              </w:rPr>
              <w:t>11</w:t>
            </w:r>
          </w:p>
        </w:tc>
      </w:tr>
    </w:tbl>
    <w:p w:rsidR="005E070E" w:rsidRDefault="005E070E" w:rsidP="00AB5750">
      <w:pPr>
        <w:jc w:val="both"/>
        <w:rPr>
          <w:i/>
          <w:sz w:val="19"/>
          <w:szCs w:val="19"/>
        </w:rPr>
      </w:pPr>
    </w:p>
    <w:p w:rsidR="00AB5750" w:rsidRPr="00FC0446" w:rsidRDefault="00AB5750" w:rsidP="00AB5750">
      <w:pPr>
        <w:jc w:val="both"/>
        <w:rPr>
          <w:i/>
          <w:sz w:val="19"/>
          <w:szCs w:val="19"/>
        </w:rPr>
      </w:pPr>
      <w:r w:rsidRPr="00FC0446">
        <w:rPr>
          <w:i/>
          <w:sz w:val="19"/>
          <w:szCs w:val="19"/>
        </w:rPr>
        <w:t xml:space="preserve">Fonte dei dati: Flusso del personale </w:t>
      </w:r>
      <w:r w:rsidR="00EC6429">
        <w:rPr>
          <w:i/>
          <w:sz w:val="19"/>
          <w:szCs w:val="19"/>
        </w:rPr>
        <w:t>2015</w:t>
      </w:r>
    </w:p>
    <w:p w:rsidR="00D613EE" w:rsidRPr="005233C5" w:rsidRDefault="00D613EE" w:rsidP="00D613EE">
      <w:pPr>
        <w:pStyle w:val="Corpodeltesto21"/>
        <w:spacing w:after="60" w:line="240" w:lineRule="auto"/>
        <w:jc w:val="both"/>
        <w:outlineLvl w:val="2"/>
        <w:rPr>
          <w:rFonts w:asciiTheme="minorHAnsi" w:hAnsiTheme="minorHAnsi" w:cs="Arial"/>
          <w:b/>
          <w:color w:val="000000"/>
          <w:sz w:val="22"/>
          <w:szCs w:val="22"/>
        </w:rPr>
      </w:pPr>
      <w:r>
        <w:rPr>
          <w:rFonts w:asciiTheme="minorHAnsi" w:hAnsiTheme="minorHAnsi" w:cs="Arial"/>
          <w:b/>
          <w:color w:val="000000"/>
          <w:sz w:val="22"/>
          <w:szCs w:val="22"/>
        </w:rPr>
        <w:t>a)</w:t>
      </w:r>
      <w:r w:rsidRPr="005233C5">
        <w:rPr>
          <w:rFonts w:asciiTheme="minorHAnsi" w:hAnsiTheme="minorHAnsi" w:cs="Arial"/>
          <w:b/>
          <w:color w:val="000000"/>
          <w:sz w:val="22"/>
          <w:szCs w:val="22"/>
        </w:rPr>
        <w:t xml:space="preserve">   Ricoveri ordinari</w:t>
      </w:r>
    </w:p>
    <w:p w:rsidR="00D613EE" w:rsidRPr="005233C5" w:rsidRDefault="00D613EE" w:rsidP="00D613EE">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A</w:t>
      </w:r>
      <w:r w:rsidRPr="005233C5">
        <w:rPr>
          <w:rFonts w:asciiTheme="minorHAnsi" w:hAnsiTheme="minorHAnsi" w:cs="Arial"/>
          <w:color w:val="000000"/>
          <w:sz w:val="22"/>
          <w:szCs w:val="22"/>
        </w:rPr>
        <w:t>ll’interno dell’ARNAS coesiste un doppio mandato istituzionale che riguarda da un lato l’assistenza in emergenza-urgenza, dall’altro le prestazioni assistenziali programmate.</w:t>
      </w:r>
    </w:p>
    <w:p w:rsidR="00D613EE" w:rsidRPr="005233C5" w:rsidRDefault="00D613EE" w:rsidP="00D613EE">
      <w:pPr>
        <w:pStyle w:val="Testonormale2"/>
        <w:spacing w:before="120" w:after="120"/>
        <w:ind w:firstLine="709"/>
        <w:jc w:val="both"/>
        <w:rPr>
          <w:rFonts w:asciiTheme="minorHAnsi" w:hAnsiTheme="minorHAnsi" w:cs="Arial"/>
          <w:color w:val="000000"/>
          <w:sz w:val="22"/>
          <w:szCs w:val="22"/>
        </w:rPr>
      </w:pPr>
      <w:r w:rsidRPr="005233C5">
        <w:rPr>
          <w:rFonts w:asciiTheme="minorHAnsi" w:hAnsiTheme="minorHAnsi" w:cs="Arial"/>
          <w:color w:val="000000"/>
          <w:sz w:val="22"/>
          <w:szCs w:val="22"/>
        </w:rPr>
        <w:t xml:space="preserve">Infatti, questa ARNAS è coinvolta in tutte le Reti Assistenziali, dell’Emergenza e Cliniche, predisposte dall’Assessorato della Salute, e in quasi tutte, ha ruolo di </w:t>
      </w:r>
      <w:r w:rsidRPr="005233C5">
        <w:rPr>
          <w:rFonts w:asciiTheme="minorHAnsi" w:hAnsiTheme="minorHAnsi" w:cs="Arial"/>
          <w:i/>
          <w:color w:val="000000"/>
          <w:sz w:val="22"/>
          <w:szCs w:val="22"/>
        </w:rPr>
        <w:t>Hub</w:t>
      </w:r>
      <w:r w:rsidRPr="005233C5">
        <w:rPr>
          <w:rFonts w:asciiTheme="minorHAnsi" w:hAnsiTheme="minorHAnsi" w:cs="Arial"/>
          <w:color w:val="000000"/>
          <w:sz w:val="22"/>
          <w:szCs w:val="22"/>
        </w:rPr>
        <w:t xml:space="preserve">. </w:t>
      </w:r>
    </w:p>
    <w:p w:rsidR="00D613EE" w:rsidRPr="005233C5" w:rsidRDefault="00D613EE" w:rsidP="00D613EE">
      <w:pPr>
        <w:pStyle w:val="Testonormale2"/>
        <w:spacing w:before="120" w:after="120"/>
        <w:ind w:firstLine="709"/>
        <w:jc w:val="both"/>
        <w:rPr>
          <w:rFonts w:asciiTheme="minorHAnsi" w:hAnsiTheme="minorHAnsi" w:cs="Arial"/>
          <w:color w:val="000000"/>
          <w:sz w:val="22"/>
          <w:szCs w:val="22"/>
        </w:rPr>
      </w:pPr>
      <w:r w:rsidRPr="005233C5">
        <w:rPr>
          <w:rFonts w:asciiTheme="minorHAnsi" w:hAnsiTheme="minorHAnsi" w:cs="Arial"/>
          <w:color w:val="000000"/>
          <w:sz w:val="22"/>
          <w:szCs w:val="22"/>
        </w:rPr>
        <w:t>La centralizzazione, per la funzione stessa delle reti, prescinde dai naturali bacini di utenza, modificando il consueto flusso dei pazienti e incrementando l’incidenza di patologia necessitante di prestazioni ad elevata complessità e di alto profilo specialistico verso i Presidi Ospedalieri in grado di erogarle. Ciò è vero tanto per le reti dell’emergenza quanto per le reti cliniche. Queste ultime, peraltro, prevedono l’erogazione di prestazioni altamente specialistiche anche in regime di elezione e contribuiscono in maniera determinante alla riduzione della mobilità passiva extraregionale.</w:t>
      </w:r>
    </w:p>
    <w:p w:rsidR="00D613EE" w:rsidRDefault="00D613EE" w:rsidP="00D613EE">
      <w:pPr>
        <w:pStyle w:val="Testonormale2"/>
        <w:spacing w:before="120" w:after="120"/>
        <w:ind w:firstLine="709"/>
        <w:jc w:val="both"/>
        <w:rPr>
          <w:rFonts w:asciiTheme="minorHAnsi" w:hAnsiTheme="minorHAnsi" w:cs="Arial"/>
          <w:color w:val="000000"/>
          <w:sz w:val="22"/>
          <w:szCs w:val="22"/>
        </w:rPr>
      </w:pPr>
      <w:r w:rsidRPr="002D66B8">
        <w:rPr>
          <w:rFonts w:asciiTheme="minorHAnsi" w:hAnsiTheme="minorHAnsi" w:cs="Arial"/>
          <w:color w:val="000000"/>
          <w:sz w:val="22"/>
          <w:szCs w:val="22"/>
        </w:rPr>
        <w:t>L’attività di RO è stata articolata su 40 Unità Operative, di cui 9 afferenti al PO G. Di Cristina e 31 al PO Civico, per un numero complessivo di 665 posti letto medi e un tasso di occupazione dell’86%.</w:t>
      </w:r>
      <w:r>
        <w:rPr>
          <w:rFonts w:asciiTheme="minorHAnsi" w:hAnsiTheme="minorHAnsi" w:cs="Arial"/>
          <w:color w:val="000000"/>
          <w:sz w:val="22"/>
          <w:szCs w:val="22"/>
        </w:rPr>
        <w:t xml:space="preserve"> </w:t>
      </w:r>
    </w:p>
    <w:p w:rsidR="007F3CDB" w:rsidRDefault="007F3CDB" w:rsidP="00D613EE">
      <w:pPr>
        <w:pStyle w:val="Testonormale2"/>
        <w:spacing w:before="120" w:after="120"/>
        <w:ind w:firstLine="709"/>
        <w:jc w:val="both"/>
        <w:rPr>
          <w:rFonts w:asciiTheme="minorHAnsi" w:hAnsiTheme="minorHAnsi" w:cs="Arial"/>
          <w:color w:val="000000"/>
          <w:sz w:val="22"/>
          <w:szCs w:val="22"/>
        </w:rPr>
      </w:pPr>
    </w:p>
    <w:p w:rsidR="00D613EE" w:rsidRDefault="00D613EE" w:rsidP="00D613EE">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lastRenderedPageBreak/>
        <w:t>Analisi attività di ricovero per provenienza pazienti:</w:t>
      </w:r>
    </w:p>
    <w:p w:rsidR="00D613EE" w:rsidRDefault="00D613EE" w:rsidP="00D613EE">
      <w:pPr>
        <w:pStyle w:val="Testonormale2"/>
        <w:spacing w:before="120" w:after="120"/>
        <w:ind w:firstLine="709"/>
        <w:jc w:val="both"/>
        <w:rPr>
          <w:rFonts w:asciiTheme="minorHAnsi" w:hAnsiTheme="minorHAnsi" w:cs="Arial"/>
          <w:color w:val="000000"/>
          <w:sz w:val="22"/>
          <w:szCs w:val="22"/>
        </w:rPr>
      </w:pPr>
      <w:r>
        <w:rPr>
          <w:noProof/>
          <w:lang w:eastAsia="it-IT"/>
        </w:rPr>
        <w:drawing>
          <wp:inline distT="0" distB="0" distL="0" distR="0" wp14:anchorId="249FF82C" wp14:editId="28007AB1">
            <wp:extent cx="3907497" cy="1846613"/>
            <wp:effectExtent l="0" t="0" r="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78" t="3973" r="1261" b="12817"/>
                    <a:stretch/>
                  </pic:blipFill>
                  <pic:spPr bwMode="auto">
                    <a:xfrm>
                      <a:off x="0" y="0"/>
                      <a:ext cx="3915004" cy="1850161"/>
                    </a:xfrm>
                    <a:prstGeom prst="rect">
                      <a:avLst/>
                    </a:prstGeom>
                    <a:ln>
                      <a:noFill/>
                    </a:ln>
                    <a:extLst>
                      <a:ext uri="{53640926-AAD7-44D8-BBD7-CCE9431645EC}">
                        <a14:shadowObscured xmlns:a14="http://schemas.microsoft.com/office/drawing/2010/main"/>
                      </a:ext>
                    </a:extLst>
                  </pic:spPr>
                </pic:pic>
              </a:graphicData>
            </a:graphic>
          </wp:inline>
        </w:drawing>
      </w:r>
    </w:p>
    <w:p w:rsidR="00D613EE" w:rsidRDefault="00D613EE" w:rsidP="00D613EE">
      <w:pPr>
        <w:pStyle w:val="Testonormale2"/>
        <w:spacing w:before="120" w:after="120"/>
        <w:ind w:firstLine="709"/>
        <w:jc w:val="both"/>
        <w:rPr>
          <w:rFonts w:asciiTheme="minorHAnsi" w:hAnsiTheme="minorHAnsi" w:cs="Arial"/>
          <w:color w:val="000000"/>
          <w:sz w:val="22"/>
          <w:szCs w:val="22"/>
        </w:rPr>
      </w:pPr>
    </w:p>
    <w:p w:rsidR="00D613EE" w:rsidRPr="00062326" w:rsidRDefault="00D613EE" w:rsidP="00D613EE">
      <w:pPr>
        <w:jc w:val="both"/>
        <w:rPr>
          <w:rFonts w:cs="Arial"/>
          <w:color w:val="000000"/>
        </w:rPr>
      </w:pPr>
      <w:r>
        <w:rPr>
          <w:rFonts w:cs="Arial"/>
          <w:color w:val="000000"/>
        </w:rPr>
        <w:tab/>
      </w:r>
      <w:r w:rsidRPr="00062326">
        <w:rPr>
          <w:rFonts w:cs="Arial"/>
          <w:color w:val="000000"/>
        </w:rPr>
        <w:t>Il numero dei ricoveri</w:t>
      </w:r>
      <w:r w:rsidR="00E37306">
        <w:rPr>
          <w:rFonts w:cs="Arial"/>
          <w:color w:val="000000"/>
        </w:rPr>
        <w:t>,</w:t>
      </w:r>
      <w:r w:rsidRPr="00062326">
        <w:rPr>
          <w:rFonts w:cs="Arial"/>
          <w:color w:val="000000"/>
        </w:rPr>
        <w:t xml:space="preserve"> </w:t>
      </w:r>
      <w:r w:rsidR="00E37306">
        <w:rPr>
          <w:rFonts w:cs="Arial"/>
          <w:color w:val="000000"/>
        </w:rPr>
        <w:t>in linea con l’andamento Regionale della riduzione tasso di ospedalizzazione</w:t>
      </w:r>
      <w:r w:rsidR="00E37306" w:rsidRPr="00062326">
        <w:rPr>
          <w:rFonts w:cs="Arial"/>
          <w:color w:val="000000"/>
        </w:rPr>
        <w:t xml:space="preserve"> </w:t>
      </w:r>
      <w:r w:rsidRPr="00062326">
        <w:rPr>
          <w:rFonts w:cs="Arial"/>
          <w:color w:val="000000"/>
        </w:rPr>
        <w:t xml:space="preserve">è in lieve riduzione </w:t>
      </w:r>
      <w:r w:rsidR="00E37306">
        <w:rPr>
          <w:rFonts w:cs="Arial"/>
          <w:color w:val="000000"/>
        </w:rPr>
        <w:t>(2014 vs</w:t>
      </w:r>
      <w:r w:rsidRPr="00062326">
        <w:rPr>
          <w:rFonts w:cs="Arial"/>
          <w:color w:val="000000"/>
        </w:rPr>
        <w:t xml:space="preserve"> 2013</w:t>
      </w:r>
      <w:r w:rsidR="00E37306">
        <w:rPr>
          <w:rFonts w:cs="Arial"/>
          <w:color w:val="000000"/>
        </w:rPr>
        <w:t xml:space="preserve">: </w:t>
      </w:r>
      <w:r w:rsidRPr="00062326">
        <w:rPr>
          <w:rFonts w:cs="Arial"/>
          <w:color w:val="000000"/>
        </w:rPr>
        <w:t>-222</w:t>
      </w:r>
      <w:r w:rsidR="00E37306">
        <w:rPr>
          <w:rFonts w:cs="Arial"/>
          <w:color w:val="000000"/>
        </w:rPr>
        <w:t>).</w:t>
      </w:r>
    </w:p>
    <w:p w:rsidR="00D613EE" w:rsidRDefault="00D613EE" w:rsidP="00D613EE">
      <w:pPr>
        <w:pStyle w:val="Testonormale2"/>
        <w:spacing w:before="120" w:after="120"/>
        <w:ind w:firstLine="709"/>
        <w:jc w:val="both"/>
        <w:rPr>
          <w:rFonts w:ascii="Arial" w:hAnsi="Arial" w:cs="Arial"/>
          <w:color w:val="000000"/>
          <w:sz w:val="12"/>
          <w:szCs w:val="16"/>
        </w:rPr>
      </w:pPr>
    </w:p>
    <w:p w:rsidR="00D613EE" w:rsidRDefault="00D613EE" w:rsidP="00D613EE">
      <w:pPr>
        <w:pStyle w:val="Testonormale2"/>
        <w:spacing w:before="120" w:after="120"/>
        <w:ind w:firstLine="709"/>
        <w:jc w:val="both"/>
        <w:rPr>
          <w:rFonts w:ascii="Arial" w:hAnsi="Arial" w:cs="Arial"/>
          <w:color w:val="000000"/>
          <w:sz w:val="12"/>
          <w:szCs w:val="16"/>
        </w:rPr>
      </w:pPr>
      <w:r>
        <w:rPr>
          <w:noProof/>
          <w:lang w:eastAsia="it-IT"/>
        </w:rPr>
        <w:drawing>
          <wp:inline distT="0" distB="0" distL="0" distR="0" wp14:anchorId="356F8F73" wp14:editId="13DEFCA2">
            <wp:extent cx="3789286" cy="2280063"/>
            <wp:effectExtent l="0" t="0" r="1905"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592" t="27286" r="37432" b="12812"/>
                    <a:stretch/>
                  </pic:blipFill>
                  <pic:spPr bwMode="auto">
                    <a:xfrm>
                      <a:off x="0" y="0"/>
                      <a:ext cx="3802985" cy="2288306"/>
                    </a:xfrm>
                    <a:prstGeom prst="rect">
                      <a:avLst/>
                    </a:prstGeom>
                    <a:ln>
                      <a:noFill/>
                    </a:ln>
                    <a:extLst>
                      <a:ext uri="{53640926-AAD7-44D8-BBD7-CCE9431645EC}">
                        <a14:shadowObscured xmlns:a14="http://schemas.microsoft.com/office/drawing/2010/main"/>
                      </a:ext>
                    </a:extLst>
                  </pic:spPr>
                </pic:pic>
              </a:graphicData>
            </a:graphic>
          </wp:inline>
        </w:drawing>
      </w:r>
    </w:p>
    <w:p w:rsidR="00D613EE" w:rsidRDefault="00D613EE" w:rsidP="00D613EE">
      <w:pPr>
        <w:rPr>
          <w:rFonts w:ascii="Arial" w:hAnsi="Arial" w:cs="Arial"/>
          <w:color w:val="000000"/>
          <w:sz w:val="12"/>
          <w:szCs w:val="16"/>
        </w:rPr>
      </w:pPr>
      <w:r>
        <w:rPr>
          <w:rFonts w:cs="Arial"/>
          <w:color w:val="000000"/>
        </w:rPr>
        <w:tab/>
      </w:r>
    </w:p>
    <w:p w:rsidR="00D613EE" w:rsidRPr="00AF6C3D" w:rsidRDefault="00D613EE" w:rsidP="00D613EE">
      <w:pPr>
        <w:pStyle w:val="Testonormale2"/>
        <w:spacing w:before="120" w:after="120"/>
        <w:ind w:firstLine="709"/>
        <w:jc w:val="both"/>
        <w:rPr>
          <w:rFonts w:ascii="Arial" w:hAnsi="Arial" w:cs="Arial"/>
          <w:color w:val="000000"/>
          <w:sz w:val="12"/>
          <w:szCs w:val="22"/>
        </w:rPr>
      </w:pPr>
      <w:r>
        <w:rPr>
          <w:noProof/>
          <w:lang w:eastAsia="it-IT"/>
        </w:rPr>
        <w:drawing>
          <wp:inline distT="0" distB="0" distL="0" distR="0" wp14:anchorId="6C8E7BC3" wp14:editId="312EC86C">
            <wp:extent cx="3792772" cy="211786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405" t="24256" r="10036" b="10638"/>
                    <a:stretch/>
                  </pic:blipFill>
                  <pic:spPr bwMode="auto">
                    <a:xfrm>
                      <a:off x="0" y="0"/>
                      <a:ext cx="3803641" cy="2123930"/>
                    </a:xfrm>
                    <a:prstGeom prst="rect">
                      <a:avLst/>
                    </a:prstGeom>
                    <a:ln>
                      <a:noFill/>
                    </a:ln>
                    <a:extLst>
                      <a:ext uri="{53640926-AAD7-44D8-BBD7-CCE9431645EC}">
                        <a14:shadowObscured xmlns:a14="http://schemas.microsoft.com/office/drawing/2010/main"/>
                      </a:ext>
                    </a:extLst>
                  </pic:spPr>
                </pic:pic>
              </a:graphicData>
            </a:graphic>
          </wp:inline>
        </w:drawing>
      </w:r>
    </w:p>
    <w:p w:rsidR="00D613EE" w:rsidRDefault="00D613EE" w:rsidP="00D613EE">
      <w:pPr>
        <w:pStyle w:val="Testonormale2"/>
        <w:spacing w:before="120" w:after="120"/>
        <w:ind w:firstLine="709"/>
        <w:jc w:val="both"/>
        <w:rPr>
          <w:rFonts w:ascii="Arial" w:hAnsi="Arial" w:cs="Arial"/>
          <w:color w:val="000000"/>
          <w:sz w:val="22"/>
          <w:szCs w:val="22"/>
        </w:rPr>
      </w:pPr>
    </w:p>
    <w:p w:rsidR="00D613EE" w:rsidRPr="00062326" w:rsidRDefault="00D613EE" w:rsidP="00D613EE">
      <w:pPr>
        <w:pStyle w:val="Testonormale2"/>
        <w:spacing w:before="120" w:after="120"/>
        <w:ind w:firstLine="709"/>
        <w:jc w:val="both"/>
        <w:rPr>
          <w:rFonts w:asciiTheme="minorHAnsi" w:hAnsiTheme="minorHAnsi" w:cs="Arial"/>
          <w:color w:val="000000"/>
          <w:sz w:val="22"/>
          <w:szCs w:val="22"/>
        </w:rPr>
      </w:pPr>
      <w:r w:rsidRPr="00062326">
        <w:rPr>
          <w:rFonts w:asciiTheme="minorHAnsi" w:hAnsiTheme="minorHAnsi" w:cs="Arial"/>
          <w:color w:val="000000"/>
          <w:sz w:val="22"/>
          <w:szCs w:val="22"/>
        </w:rPr>
        <w:t>Si assiste anche ad una lieve riduzione del peso medio e della percentuale di DRG chirurgici prodotti.</w:t>
      </w:r>
      <w:r>
        <w:rPr>
          <w:rFonts w:asciiTheme="minorHAnsi" w:hAnsiTheme="minorHAnsi" w:cs="Arial"/>
          <w:color w:val="000000"/>
          <w:sz w:val="22"/>
          <w:szCs w:val="22"/>
        </w:rPr>
        <w:t xml:space="preserve"> </w:t>
      </w:r>
      <w:r w:rsidRPr="00062326">
        <w:rPr>
          <w:rFonts w:asciiTheme="minorHAnsi" w:hAnsiTheme="minorHAnsi" w:cs="Arial"/>
          <w:color w:val="000000"/>
          <w:sz w:val="22"/>
          <w:szCs w:val="22"/>
        </w:rPr>
        <w:t xml:space="preserve">Ma la vera differenza sta nel perseguimento dell’appropriatezza di ricovero e dell’utilizzo del corretto setting assistenziale. </w:t>
      </w:r>
    </w:p>
    <w:p w:rsidR="00D613EE" w:rsidRDefault="00D613EE" w:rsidP="00D613EE">
      <w:pPr>
        <w:pStyle w:val="Testonormale2"/>
        <w:spacing w:before="120" w:after="120"/>
        <w:ind w:firstLine="709"/>
        <w:jc w:val="both"/>
        <w:rPr>
          <w:rFonts w:ascii="Arial" w:hAnsi="Arial" w:cs="Arial"/>
          <w:color w:val="000000"/>
          <w:sz w:val="22"/>
          <w:szCs w:val="22"/>
        </w:rPr>
      </w:pPr>
      <w:r>
        <w:rPr>
          <w:noProof/>
          <w:lang w:eastAsia="it-IT"/>
        </w:rPr>
        <w:lastRenderedPageBreak/>
        <w:drawing>
          <wp:inline distT="0" distB="0" distL="0" distR="0" wp14:anchorId="6ACBB651" wp14:editId="241E2E86">
            <wp:extent cx="3325091" cy="1995055"/>
            <wp:effectExtent l="19050" t="19050" r="27940" b="2476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543" t="28425" r="40136" b="20010"/>
                    <a:stretch/>
                  </pic:blipFill>
                  <pic:spPr bwMode="auto">
                    <a:xfrm>
                      <a:off x="0" y="0"/>
                      <a:ext cx="3343468" cy="200608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D613EE" w:rsidRPr="006E3464" w:rsidRDefault="00D613EE" w:rsidP="00D613EE">
      <w:pPr>
        <w:pStyle w:val="Testonormale2"/>
        <w:spacing w:before="120" w:after="120"/>
        <w:ind w:firstLine="709"/>
        <w:jc w:val="both"/>
        <w:rPr>
          <w:rFonts w:ascii="Arial" w:hAnsi="Arial" w:cs="Arial"/>
          <w:color w:val="000000"/>
          <w:sz w:val="22"/>
          <w:szCs w:val="22"/>
        </w:rPr>
      </w:pPr>
    </w:p>
    <w:p w:rsidR="00D613EE" w:rsidRPr="00A60286" w:rsidRDefault="00D613EE" w:rsidP="00D613EE">
      <w:pPr>
        <w:pStyle w:val="Corpodeltesto21"/>
        <w:spacing w:after="60" w:line="240" w:lineRule="auto"/>
        <w:jc w:val="both"/>
        <w:outlineLvl w:val="2"/>
        <w:rPr>
          <w:rFonts w:asciiTheme="minorHAnsi" w:hAnsiTheme="minorHAnsi" w:cs="Arial"/>
          <w:b/>
          <w:color w:val="000000"/>
          <w:sz w:val="22"/>
          <w:szCs w:val="22"/>
        </w:rPr>
      </w:pPr>
      <w:r>
        <w:rPr>
          <w:rFonts w:asciiTheme="minorHAnsi" w:hAnsiTheme="minorHAnsi" w:cs="Arial"/>
          <w:b/>
          <w:color w:val="000000"/>
          <w:sz w:val="22"/>
          <w:szCs w:val="22"/>
        </w:rPr>
        <w:tab/>
        <w:t>b)</w:t>
      </w:r>
      <w:r w:rsidRPr="00A60286">
        <w:rPr>
          <w:rFonts w:asciiTheme="minorHAnsi" w:hAnsiTheme="minorHAnsi" w:cs="Arial"/>
          <w:b/>
          <w:color w:val="000000"/>
          <w:sz w:val="22"/>
          <w:szCs w:val="22"/>
        </w:rPr>
        <w:t xml:space="preserve">   Ricoveri a ciclo diurno (Day Hospital) e Day Service</w:t>
      </w:r>
    </w:p>
    <w:p w:rsidR="00D613EE" w:rsidRPr="00A60286" w:rsidRDefault="00D613EE" w:rsidP="00D613EE">
      <w:pPr>
        <w:pStyle w:val="Testonormale2"/>
        <w:spacing w:before="120" w:after="120"/>
        <w:ind w:firstLine="709"/>
        <w:jc w:val="both"/>
        <w:rPr>
          <w:rFonts w:asciiTheme="minorHAnsi" w:hAnsiTheme="minorHAnsi" w:cs="Arial"/>
          <w:color w:val="000000"/>
          <w:sz w:val="22"/>
          <w:szCs w:val="22"/>
        </w:rPr>
      </w:pPr>
      <w:r w:rsidRPr="00A60286">
        <w:rPr>
          <w:rFonts w:asciiTheme="minorHAnsi" w:hAnsiTheme="minorHAnsi" w:cs="Arial"/>
          <w:color w:val="000000"/>
          <w:sz w:val="22"/>
          <w:szCs w:val="22"/>
        </w:rPr>
        <w:t xml:space="preserve">I ricoveri a ciclo diurno consentono di effettuare prestazioni sanitarie programmate, anche molto complesse, multi-professionali e multidisciplinari, in condizioni di massimo controllo del rischio clinico, di breve durata ed effettuabili nel giro di poche ore con un notevole risparmio di risorse umane, tecnologiche e strumentali. </w:t>
      </w:r>
      <w:r>
        <w:rPr>
          <w:rFonts w:asciiTheme="minorHAnsi" w:hAnsiTheme="minorHAnsi" w:cs="Arial"/>
          <w:color w:val="000000"/>
          <w:sz w:val="22"/>
          <w:szCs w:val="22"/>
        </w:rPr>
        <w:t xml:space="preserve"> </w:t>
      </w:r>
      <w:r w:rsidRPr="00A60286">
        <w:rPr>
          <w:rFonts w:asciiTheme="minorHAnsi" w:hAnsiTheme="minorHAnsi" w:cs="Arial"/>
          <w:color w:val="000000"/>
          <w:sz w:val="22"/>
          <w:szCs w:val="22"/>
        </w:rPr>
        <w:t>In linea con le direttive dell’Assessorato Regionale alla Salute si è perseguita una progressiva riduzione al ricorso al regime di Day Hospital a fini prettamente diagnostici o comunque, in tutti quei casi in cui potesse, comunque, essere erogata l’assistenza necessaria in altri setting assistenziali.</w:t>
      </w:r>
      <w:r>
        <w:rPr>
          <w:rFonts w:asciiTheme="minorHAnsi" w:hAnsiTheme="minorHAnsi" w:cs="Arial"/>
          <w:color w:val="000000"/>
          <w:sz w:val="22"/>
          <w:szCs w:val="22"/>
        </w:rPr>
        <w:t xml:space="preserve"> </w:t>
      </w:r>
      <w:r w:rsidRPr="00A60286">
        <w:rPr>
          <w:rFonts w:asciiTheme="minorHAnsi" w:hAnsiTheme="minorHAnsi" w:cs="Arial"/>
          <w:color w:val="000000"/>
          <w:sz w:val="22"/>
          <w:szCs w:val="22"/>
        </w:rPr>
        <w:t>Risulta evidente come la riduzione del numero di ricoveri comporti, contestualmente, una riduzione dei ricavi.</w:t>
      </w:r>
    </w:p>
    <w:p w:rsidR="00D613EE" w:rsidRPr="00A60286" w:rsidRDefault="00D613EE" w:rsidP="00D613EE">
      <w:pPr>
        <w:pStyle w:val="Testonormale2"/>
        <w:spacing w:before="120" w:after="120"/>
        <w:ind w:firstLine="709"/>
        <w:jc w:val="both"/>
        <w:rPr>
          <w:rFonts w:asciiTheme="minorHAnsi" w:hAnsiTheme="minorHAnsi" w:cs="Arial"/>
          <w:color w:val="000000"/>
          <w:sz w:val="22"/>
          <w:szCs w:val="22"/>
        </w:rPr>
      </w:pPr>
      <w:r w:rsidRPr="00A60286">
        <w:rPr>
          <w:rFonts w:asciiTheme="minorHAnsi" w:hAnsiTheme="minorHAnsi" w:cs="Arial"/>
          <w:color w:val="000000"/>
          <w:sz w:val="22"/>
          <w:szCs w:val="22"/>
        </w:rPr>
        <w:t xml:space="preserve">Così come da direttive Regionali, si è implementato, in alternativa, il </w:t>
      </w:r>
      <w:r w:rsidRPr="00A76FD5">
        <w:rPr>
          <w:rFonts w:asciiTheme="minorHAnsi" w:hAnsiTheme="minorHAnsi" w:cs="Arial"/>
          <w:i/>
          <w:color w:val="000000"/>
          <w:sz w:val="22"/>
          <w:szCs w:val="22"/>
        </w:rPr>
        <w:t>setting</w:t>
      </w:r>
      <w:r w:rsidRPr="00A60286">
        <w:rPr>
          <w:rFonts w:asciiTheme="minorHAnsi" w:hAnsiTheme="minorHAnsi" w:cs="Arial"/>
          <w:color w:val="000000"/>
          <w:sz w:val="22"/>
          <w:szCs w:val="22"/>
        </w:rPr>
        <w:t xml:space="preserve"> assistenziale di Day Service. Ciò ha consentito di garantire le prestazioni assistenziali richieste, determinando però ricavi inferiori a costi di produzione fondamentalmente immodificati.</w:t>
      </w:r>
    </w:p>
    <w:p w:rsidR="00D613EE" w:rsidRPr="00A60286" w:rsidRDefault="00D613EE" w:rsidP="00D613EE">
      <w:pPr>
        <w:pStyle w:val="Testonormale2"/>
        <w:spacing w:before="120" w:after="120"/>
        <w:ind w:firstLine="709"/>
        <w:jc w:val="both"/>
        <w:rPr>
          <w:rFonts w:asciiTheme="minorHAnsi" w:hAnsiTheme="minorHAnsi" w:cs="Arial"/>
          <w:color w:val="000000"/>
          <w:sz w:val="12"/>
          <w:szCs w:val="22"/>
        </w:rPr>
      </w:pPr>
    </w:p>
    <w:p w:rsidR="00D613EE" w:rsidRDefault="00D613EE" w:rsidP="00D613EE">
      <w:pPr>
        <w:pStyle w:val="Testonormale2"/>
        <w:spacing w:before="120"/>
        <w:ind w:firstLine="709"/>
        <w:jc w:val="center"/>
        <w:rPr>
          <w:rFonts w:ascii="Arial" w:hAnsi="Arial" w:cs="Arial"/>
          <w:b/>
          <w:bCs/>
          <w:color w:val="000000"/>
          <w:sz w:val="23"/>
          <w:szCs w:val="23"/>
        </w:rPr>
      </w:pPr>
      <w:r>
        <w:rPr>
          <w:noProof/>
          <w:lang w:eastAsia="it-IT"/>
        </w:rPr>
        <w:drawing>
          <wp:inline distT="0" distB="0" distL="0" distR="0" wp14:anchorId="5B06C8D9" wp14:editId="2E54113D">
            <wp:extent cx="3649820" cy="2204113"/>
            <wp:effectExtent l="0" t="0" r="8255"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70" t="25532" r="41260" b="15106"/>
                    <a:stretch/>
                  </pic:blipFill>
                  <pic:spPr bwMode="auto">
                    <a:xfrm>
                      <a:off x="0" y="0"/>
                      <a:ext cx="3663399" cy="2212313"/>
                    </a:xfrm>
                    <a:prstGeom prst="rect">
                      <a:avLst/>
                    </a:prstGeom>
                    <a:ln>
                      <a:noFill/>
                    </a:ln>
                    <a:extLst>
                      <a:ext uri="{53640926-AAD7-44D8-BBD7-CCE9431645EC}">
                        <a14:shadowObscured xmlns:a14="http://schemas.microsoft.com/office/drawing/2010/main"/>
                      </a:ext>
                    </a:extLst>
                  </pic:spPr>
                </pic:pic>
              </a:graphicData>
            </a:graphic>
          </wp:inline>
        </w:drawing>
      </w:r>
    </w:p>
    <w:p w:rsidR="00D613EE" w:rsidRDefault="00D613EE" w:rsidP="00D613EE">
      <w:pPr>
        <w:pStyle w:val="Testonormale2"/>
        <w:spacing w:before="120"/>
        <w:ind w:firstLine="709"/>
        <w:jc w:val="center"/>
        <w:rPr>
          <w:rFonts w:ascii="Arial" w:hAnsi="Arial" w:cs="Arial"/>
          <w:b/>
          <w:bCs/>
          <w:color w:val="000000"/>
          <w:sz w:val="23"/>
          <w:szCs w:val="23"/>
        </w:rPr>
      </w:pPr>
      <w:r>
        <w:rPr>
          <w:noProof/>
          <w:lang w:eastAsia="it-IT"/>
        </w:rPr>
        <w:lastRenderedPageBreak/>
        <w:drawing>
          <wp:inline distT="0" distB="0" distL="0" distR="0" wp14:anchorId="6A2613EB" wp14:editId="51D71881">
            <wp:extent cx="3619365" cy="2173184"/>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88" t="25745" r="41022" b="15106"/>
                    <a:stretch/>
                  </pic:blipFill>
                  <pic:spPr bwMode="auto">
                    <a:xfrm>
                      <a:off x="0" y="0"/>
                      <a:ext cx="3630389" cy="2179803"/>
                    </a:xfrm>
                    <a:prstGeom prst="rect">
                      <a:avLst/>
                    </a:prstGeom>
                    <a:ln>
                      <a:noFill/>
                    </a:ln>
                    <a:extLst>
                      <a:ext uri="{53640926-AAD7-44D8-BBD7-CCE9431645EC}">
                        <a14:shadowObscured xmlns:a14="http://schemas.microsoft.com/office/drawing/2010/main"/>
                      </a:ext>
                    </a:extLst>
                  </pic:spPr>
                </pic:pic>
              </a:graphicData>
            </a:graphic>
          </wp:inline>
        </w:drawing>
      </w:r>
    </w:p>
    <w:p w:rsidR="00D613EE" w:rsidRDefault="00D613EE" w:rsidP="00D613EE">
      <w:pPr>
        <w:pStyle w:val="Testonormale2"/>
        <w:spacing w:before="120"/>
        <w:ind w:firstLine="709"/>
        <w:jc w:val="center"/>
        <w:rPr>
          <w:rFonts w:ascii="Arial" w:hAnsi="Arial" w:cs="Arial"/>
          <w:b/>
          <w:bCs/>
          <w:color w:val="000000"/>
          <w:sz w:val="23"/>
          <w:szCs w:val="23"/>
        </w:rPr>
      </w:pPr>
    </w:p>
    <w:p w:rsidR="00D613EE" w:rsidRPr="00544AB2" w:rsidRDefault="00D613EE" w:rsidP="00D613EE">
      <w:pPr>
        <w:pStyle w:val="Corpodeltesto21"/>
        <w:spacing w:after="60" w:line="240" w:lineRule="auto"/>
        <w:jc w:val="both"/>
        <w:outlineLvl w:val="2"/>
        <w:rPr>
          <w:rFonts w:asciiTheme="minorHAnsi" w:hAnsiTheme="minorHAnsi" w:cs="Arial"/>
          <w:b/>
          <w:color w:val="000000"/>
          <w:sz w:val="22"/>
          <w:szCs w:val="22"/>
        </w:rPr>
      </w:pPr>
      <w:bookmarkStart w:id="1" w:name="_Toc392240162"/>
      <w:r>
        <w:rPr>
          <w:rFonts w:asciiTheme="minorHAnsi" w:hAnsiTheme="minorHAnsi" w:cs="Arial"/>
          <w:b/>
          <w:color w:val="000000"/>
          <w:sz w:val="22"/>
          <w:szCs w:val="22"/>
        </w:rPr>
        <w:tab/>
        <w:t>c)</w:t>
      </w:r>
      <w:r w:rsidRPr="00544AB2">
        <w:rPr>
          <w:rFonts w:asciiTheme="minorHAnsi" w:hAnsiTheme="minorHAnsi" w:cs="Arial"/>
          <w:b/>
          <w:color w:val="000000"/>
          <w:sz w:val="22"/>
          <w:szCs w:val="22"/>
        </w:rPr>
        <w:t xml:space="preserve">   Attività Ambulatoriale</w:t>
      </w:r>
      <w:bookmarkEnd w:id="1"/>
    </w:p>
    <w:p w:rsidR="00D613EE" w:rsidRPr="00C71180" w:rsidRDefault="00D613EE" w:rsidP="00D613EE">
      <w:pPr>
        <w:pStyle w:val="Testonormale2"/>
        <w:spacing w:before="120" w:after="120"/>
        <w:ind w:firstLine="709"/>
        <w:jc w:val="both"/>
        <w:rPr>
          <w:rFonts w:asciiTheme="minorHAnsi" w:hAnsiTheme="minorHAnsi" w:cs="Arial"/>
          <w:color w:val="000000"/>
          <w:sz w:val="22"/>
          <w:szCs w:val="22"/>
        </w:rPr>
      </w:pPr>
      <w:r w:rsidRPr="00C71180">
        <w:rPr>
          <w:rFonts w:asciiTheme="minorHAnsi" w:hAnsiTheme="minorHAnsi" w:cs="Arial"/>
          <w:color w:val="000000"/>
          <w:sz w:val="22"/>
          <w:szCs w:val="22"/>
        </w:rPr>
        <w:t xml:space="preserve">Le prestazioni ambulatoriali risultano </w:t>
      </w:r>
      <w:r w:rsidR="00E37306">
        <w:rPr>
          <w:rFonts w:asciiTheme="minorHAnsi" w:hAnsiTheme="minorHAnsi" w:cs="Arial"/>
          <w:color w:val="000000"/>
          <w:sz w:val="22"/>
          <w:szCs w:val="22"/>
        </w:rPr>
        <w:t>in progressivo incremento.</w:t>
      </w:r>
      <w:r w:rsidRPr="00C71180">
        <w:rPr>
          <w:rFonts w:asciiTheme="minorHAnsi" w:hAnsiTheme="minorHAnsi" w:cs="Arial"/>
          <w:color w:val="000000"/>
          <w:sz w:val="22"/>
          <w:szCs w:val="22"/>
        </w:rPr>
        <w:t xml:space="preserve"> Anche questo fenomeno, insieme a quello dell’incremento del Day Service, rende ragione dello sforzo dei professionisti dell’Azienda, di spostare verso setting assistenziali più appropriati prestazioni di ricovero a rischio di inappropriatezza.</w:t>
      </w:r>
    </w:p>
    <w:p w:rsidR="00D613EE" w:rsidRPr="00C71180" w:rsidRDefault="00D613EE" w:rsidP="00D613EE">
      <w:pPr>
        <w:pStyle w:val="Testonormale2"/>
        <w:spacing w:before="120" w:after="120"/>
        <w:ind w:firstLine="709"/>
        <w:jc w:val="both"/>
        <w:rPr>
          <w:rFonts w:asciiTheme="minorHAnsi" w:hAnsiTheme="minorHAnsi" w:cs="Arial"/>
          <w:color w:val="000000"/>
          <w:sz w:val="22"/>
          <w:szCs w:val="22"/>
        </w:rPr>
      </w:pPr>
      <w:r>
        <w:rPr>
          <w:noProof/>
          <w:lang w:eastAsia="it-IT"/>
        </w:rPr>
        <w:drawing>
          <wp:inline distT="0" distB="0" distL="0" distR="0" wp14:anchorId="43D3E98D" wp14:editId="33B39426">
            <wp:extent cx="3623985" cy="2030680"/>
            <wp:effectExtent l="0" t="0" r="0"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49" t="24894" r="41142" b="19787"/>
                    <a:stretch/>
                  </pic:blipFill>
                  <pic:spPr bwMode="auto">
                    <a:xfrm>
                      <a:off x="0" y="0"/>
                      <a:ext cx="3639289" cy="2039255"/>
                    </a:xfrm>
                    <a:prstGeom prst="rect">
                      <a:avLst/>
                    </a:prstGeom>
                    <a:ln>
                      <a:noFill/>
                    </a:ln>
                    <a:extLst>
                      <a:ext uri="{53640926-AAD7-44D8-BBD7-CCE9431645EC}">
                        <a14:shadowObscured xmlns:a14="http://schemas.microsoft.com/office/drawing/2010/main"/>
                      </a:ext>
                    </a:extLst>
                  </pic:spPr>
                </pic:pic>
              </a:graphicData>
            </a:graphic>
          </wp:inline>
        </w:drawing>
      </w:r>
    </w:p>
    <w:p w:rsidR="00D613EE" w:rsidRDefault="00D613EE" w:rsidP="00D613EE">
      <w:pPr>
        <w:pStyle w:val="Corpodeltesto21"/>
        <w:spacing w:after="60" w:line="240" w:lineRule="auto"/>
        <w:jc w:val="both"/>
        <w:outlineLvl w:val="2"/>
        <w:rPr>
          <w:rFonts w:asciiTheme="minorHAnsi" w:hAnsiTheme="minorHAnsi" w:cs="Arial"/>
          <w:b/>
          <w:color w:val="000000"/>
          <w:sz w:val="22"/>
          <w:szCs w:val="22"/>
        </w:rPr>
      </w:pPr>
      <w:bookmarkStart w:id="2" w:name="_Toc392240163"/>
    </w:p>
    <w:p w:rsidR="00D613EE" w:rsidRPr="00C71180" w:rsidRDefault="00D613EE" w:rsidP="00D613EE">
      <w:pPr>
        <w:pStyle w:val="Corpodeltesto21"/>
        <w:spacing w:after="60" w:line="240" w:lineRule="auto"/>
        <w:jc w:val="both"/>
        <w:outlineLvl w:val="2"/>
        <w:rPr>
          <w:rFonts w:asciiTheme="minorHAnsi" w:hAnsiTheme="minorHAnsi" w:cs="Arial"/>
          <w:b/>
          <w:color w:val="000000"/>
          <w:sz w:val="22"/>
          <w:szCs w:val="22"/>
        </w:rPr>
      </w:pPr>
      <w:r>
        <w:rPr>
          <w:rFonts w:asciiTheme="minorHAnsi" w:hAnsiTheme="minorHAnsi" w:cs="Arial"/>
          <w:b/>
          <w:color w:val="000000"/>
          <w:sz w:val="22"/>
          <w:szCs w:val="22"/>
        </w:rPr>
        <w:tab/>
        <w:t>d)</w:t>
      </w:r>
      <w:r w:rsidRPr="00C71180">
        <w:rPr>
          <w:rFonts w:asciiTheme="minorHAnsi" w:hAnsiTheme="minorHAnsi" w:cs="Arial"/>
          <w:b/>
          <w:color w:val="000000"/>
          <w:sz w:val="22"/>
          <w:szCs w:val="22"/>
        </w:rPr>
        <w:t xml:space="preserve">   Attività di Pronto Soccorso</w:t>
      </w:r>
      <w:bookmarkEnd w:id="2"/>
    </w:p>
    <w:p w:rsidR="00014EF6" w:rsidRDefault="00D613EE" w:rsidP="00D613EE">
      <w:pPr>
        <w:pStyle w:val="Testonormale2"/>
        <w:spacing w:before="120" w:after="120"/>
        <w:ind w:firstLine="709"/>
        <w:jc w:val="both"/>
        <w:rPr>
          <w:rFonts w:asciiTheme="minorHAnsi" w:hAnsiTheme="minorHAnsi" w:cs="Arial"/>
          <w:color w:val="000000"/>
          <w:sz w:val="22"/>
          <w:szCs w:val="22"/>
        </w:rPr>
      </w:pPr>
      <w:r w:rsidRPr="00C71180">
        <w:rPr>
          <w:rFonts w:asciiTheme="minorHAnsi" w:hAnsiTheme="minorHAnsi" w:cs="Arial"/>
          <w:color w:val="000000"/>
          <w:sz w:val="22"/>
          <w:szCs w:val="22"/>
        </w:rPr>
        <w:t>Fenomeno di assoluta importanza sotto il profilo sociale ed economico è quello relativo all</w:t>
      </w:r>
      <w:r w:rsidR="00014EF6">
        <w:rPr>
          <w:rFonts w:asciiTheme="minorHAnsi" w:hAnsiTheme="minorHAnsi" w:cs="Arial"/>
          <w:color w:val="000000"/>
          <w:sz w:val="22"/>
          <w:szCs w:val="22"/>
        </w:rPr>
        <w:t>a gestione del paziente in</w:t>
      </w:r>
      <w:r w:rsidRPr="00C71180">
        <w:rPr>
          <w:rFonts w:asciiTheme="minorHAnsi" w:hAnsiTheme="minorHAnsi" w:cs="Arial"/>
          <w:color w:val="000000"/>
          <w:sz w:val="22"/>
          <w:szCs w:val="22"/>
        </w:rPr>
        <w:t xml:space="preserve"> Pronto Soccorso, fenomeno che riguarda i pazienti adulti (PS Civico e PS Ostetrico-Ginecologico</w:t>
      </w:r>
      <w:r w:rsidR="00014EF6">
        <w:rPr>
          <w:rFonts w:asciiTheme="minorHAnsi" w:hAnsiTheme="minorHAnsi" w:cs="Arial"/>
          <w:color w:val="000000"/>
          <w:sz w:val="22"/>
          <w:szCs w:val="22"/>
        </w:rPr>
        <w:t>) e quelli pediatrici (PS G. Di Cristina)</w:t>
      </w:r>
      <w:r w:rsidRPr="00C71180">
        <w:rPr>
          <w:rFonts w:asciiTheme="minorHAnsi" w:hAnsiTheme="minorHAnsi" w:cs="Arial"/>
          <w:color w:val="000000"/>
          <w:sz w:val="22"/>
          <w:szCs w:val="22"/>
        </w:rPr>
        <w:t>.</w:t>
      </w:r>
      <w:r>
        <w:rPr>
          <w:rFonts w:asciiTheme="minorHAnsi" w:hAnsiTheme="minorHAnsi" w:cs="Arial"/>
          <w:color w:val="000000"/>
          <w:sz w:val="22"/>
          <w:szCs w:val="22"/>
        </w:rPr>
        <w:t xml:space="preserve"> </w:t>
      </w:r>
    </w:p>
    <w:p w:rsidR="00014EF6" w:rsidRDefault="00014EF6" w:rsidP="00D613EE">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 xml:space="preserve">La complessità </w:t>
      </w:r>
      <w:r w:rsidR="008E1147">
        <w:rPr>
          <w:rFonts w:asciiTheme="minorHAnsi" w:hAnsiTheme="minorHAnsi" w:cs="Arial"/>
          <w:color w:val="000000"/>
          <w:sz w:val="22"/>
          <w:szCs w:val="22"/>
        </w:rPr>
        <w:t xml:space="preserve">di tale </w:t>
      </w:r>
      <w:r>
        <w:rPr>
          <w:rFonts w:asciiTheme="minorHAnsi" w:hAnsiTheme="minorHAnsi" w:cs="Arial"/>
          <w:color w:val="000000"/>
          <w:sz w:val="22"/>
          <w:szCs w:val="22"/>
        </w:rPr>
        <w:t xml:space="preserve">gestione è in parte dovuta all’elevatissimo numero di accessi, dovuto alla debolezza delle strutture territoriali, </w:t>
      </w:r>
      <w:r w:rsidR="00D613EE" w:rsidRPr="00C71180">
        <w:rPr>
          <w:rFonts w:asciiTheme="minorHAnsi" w:hAnsiTheme="minorHAnsi" w:cs="Arial"/>
          <w:color w:val="000000"/>
          <w:sz w:val="22"/>
          <w:szCs w:val="22"/>
        </w:rPr>
        <w:t>alla tendenza alla centralizzazione del paziente complesso, così come previsto dalle reti dell’emergenza e cliniche (politrauma, IMA, stroke, ecc.), all’assistenza erogata in emergenza in favore di pazienti già in carico di strutture private accreditate (in atto 8 sono le convenzioni attive con Case di Cura accreditate e 12 con centri Dialisi accreditati).</w:t>
      </w:r>
      <w:r w:rsidR="00D613EE">
        <w:rPr>
          <w:rFonts w:asciiTheme="minorHAnsi" w:hAnsiTheme="minorHAnsi" w:cs="Arial"/>
          <w:color w:val="000000"/>
          <w:sz w:val="22"/>
          <w:szCs w:val="22"/>
        </w:rPr>
        <w:t xml:space="preserve"> </w:t>
      </w:r>
    </w:p>
    <w:p w:rsidR="00014EF6" w:rsidRDefault="008E1147" w:rsidP="00D613EE">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D’altra parte, la mancanza di percorsi esclusivamente dedicati all’emergenza (in fase di definizione ed implementazione durante il 2016), la carenza assoluta e relativa di posti letto disponibili per i ricoveri urgenti nei tempi previsti dalla normativa vigente (è già in atto una riorganizzazione delle aree degenziali al fine di rendere maggiormente disponibile la risorsa posto letto all’Area di Emergenza) rendono ragione dei significativi tempi di permanenza dei pazienti in PS/Ob.</w:t>
      </w:r>
    </w:p>
    <w:p w:rsidR="00014EF6" w:rsidRDefault="00014EF6" w:rsidP="00D613EE">
      <w:pPr>
        <w:pStyle w:val="Testonormale2"/>
        <w:spacing w:before="120" w:after="120"/>
        <w:ind w:firstLine="709"/>
        <w:jc w:val="both"/>
        <w:rPr>
          <w:rFonts w:asciiTheme="minorHAnsi" w:hAnsiTheme="minorHAnsi" w:cs="Arial"/>
          <w:color w:val="000000"/>
          <w:sz w:val="22"/>
          <w:szCs w:val="22"/>
        </w:rPr>
      </w:pPr>
    </w:p>
    <w:p w:rsidR="00014EF6" w:rsidRDefault="00014EF6" w:rsidP="00D613EE">
      <w:pPr>
        <w:pStyle w:val="Testonormale2"/>
        <w:spacing w:before="120" w:after="120"/>
        <w:ind w:firstLine="709"/>
        <w:jc w:val="both"/>
        <w:rPr>
          <w:rFonts w:asciiTheme="minorHAnsi" w:hAnsiTheme="minorHAnsi" w:cs="Arial"/>
          <w:color w:val="000000"/>
          <w:sz w:val="22"/>
          <w:szCs w:val="22"/>
        </w:rPr>
      </w:pPr>
    </w:p>
    <w:p w:rsidR="00D613EE" w:rsidRDefault="00014EF6" w:rsidP="00D613EE">
      <w:pPr>
        <w:pStyle w:val="Testonormale2"/>
        <w:spacing w:before="120" w:after="120"/>
        <w:jc w:val="center"/>
        <w:rPr>
          <w:rFonts w:ascii="Arial" w:hAnsi="Arial" w:cs="Arial"/>
          <w:color w:val="000000"/>
          <w:sz w:val="22"/>
          <w:szCs w:val="22"/>
        </w:rPr>
      </w:pPr>
      <w:r>
        <w:rPr>
          <w:noProof/>
          <w:lang w:eastAsia="it-IT"/>
        </w:rPr>
        <w:lastRenderedPageBreak/>
        <w:drawing>
          <wp:inline distT="0" distB="0" distL="0" distR="0" wp14:anchorId="6ED1B60B" wp14:editId="6C704380">
            <wp:extent cx="6120130" cy="29394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939415"/>
                    </a:xfrm>
                    <a:prstGeom prst="rect">
                      <a:avLst/>
                    </a:prstGeom>
                  </pic:spPr>
                </pic:pic>
              </a:graphicData>
            </a:graphic>
          </wp:inline>
        </w:drawing>
      </w:r>
    </w:p>
    <w:p w:rsidR="00D613EE" w:rsidRDefault="00D613EE" w:rsidP="00D613EE">
      <w:pPr>
        <w:pStyle w:val="Testonormale2"/>
        <w:spacing w:before="120" w:after="120"/>
        <w:ind w:firstLine="709"/>
        <w:jc w:val="both"/>
        <w:rPr>
          <w:rFonts w:asciiTheme="minorHAnsi" w:hAnsiTheme="minorHAnsi" w:cs="Arial"/>
          <w:color w:val="000000"/>
          <w:sz w:val="22"/>
          <w:szCs w:val="22"/>
        </w:rPr>
      </w:pPr>
    </w:p>
    <w:p w:rsidR="00AB5750" w:rsidRPr="00F7104F" w:rsidRDefault="00AB5750" w:rsidP="00AB5750">
      <w:pPr>
        <w:jc w:val="both"/>
        <w:rPr>
          <w:b/>
          <w:color w:val="000066"/>
        </w:rPr>
      </w:pPr>
      <w:r w:rsidRPr="00F7104F">
        <w:rPr>
          <w:b/>
          <w:color w:val="000066"/>
        </w:rPr>
        <w:t xml:space="preserve">La situazione finanziaria </w:t>
      </w:r>
    </w:p>
    <w:p w:rsidR="00AB5750" w:rsidRDefault="00AB5750" w:rsidP="00AB5750">
      <w:pPr>
        <w:jc w:val="both"/>
      </w:pPr>
      <w:r>
        <w:t>L’Azienda elabora i propri bilanci in osservanza delle</w:t>
      </w:r>
      <w:r w:rsidR="00FC0446">
        <w:t xml:space="preserve"> </w:t>
      </w:r>
      <w:r>
        <w:t>disposizioni</w:t>
      </w:r>
      <w:r w:rsidR="00FC0446">
        <w:t xml:space="preserve"> </w:t>
      </w:r>
      <w:r>
        <w:t>contenute nel</w:t>
      </w:r>
      <w:r>
        <w:tab/>
        <w:t>codice</w:t>
      </w:r>
      <w:r w:rsidR="00FC0446">
        <w:t xml:space="preserve"> </w:t>
      </w:r>
      <w:r>
        <w:t xml:space="preserve">civile, titolo V, capo V sezione IX e della specifica normativa nazionale e regionale emanata per il settore sanitario pubblico. </w:t>
      </w:r>
    </w:p>
    <w:p w:rsidR="00AF3D16" w:rsidRDefault="00AB5750" w:rsidP="00AF3D16">
      <w:pPr>
        <w:jc w:val="both"/>
      </w:pPr>
      <w:r>
        <w:t>Il risultato de</w:t>
      </w:r>
      <w:r w:rsidR="00FC0446">
        <w:t>lla gestione dell’esercizio 201</w:t>
      </w:r>
      <w:r w:rsidR="005E070E">
        <w:t>4</w:t>
      </w:r>
      <w:r w:rsidR="00FC0446">
        <w:t>, approvato dall’Organo Tutorio della Regione,</w:t>
      </w:r>
      <w:r>
        <w:t xml:space="preserve"> si è concluso con </w:t>
      </w:r>
      <w:r w:rsidR="00FC0446">
        <w:t>un utile di esercizio pari a</w:t>
      </w:r>
      <w:r w:rsidR="00AF3D16">
        <w:t xml:space="preserve"> </w:t>
      </w:r>
      <w:r w:rsidR="00AF3D16" w:rsidRPr="00AF3D16">
        <w:t>€ 201.568</w:t>
      </w:r>
      <w:r w:rsidR="00AF3D16">
        <w:t>, il risultato d' esercizio 2013 era pari a + € 325.981. I risultati d'esercizio 2013 e 2014, entrambi positivi, e nel pieno rispetto degli obiettivi economici negoziati dalla Regione non sono confrontabili se non sul piano squisitamente algebrico, in quanto nei due esercizi di riferimento cambia la struttura e le voci del finanziamento del contributo.</w:t>
      </w:r>
    </w:p>
    <w:p w:rsidR="00F3512E" w:rsidRPr="00AF3D16" w:rsidRDefault="005E070E" w:rsidP="00AF3D16">
      <w:pPr>
        <w:pStyle w:val="Paragrafoelenco"/>
        <w:numPr>
          <w:ilvl w:val="1"/>
          <w:numId w:val="1"/>
        </w:numPr>
        <w:jc w:val="both"/>
        <w:rPr>
          <w:b/>
          <w:i/>
          <w:color w:val="0070C0"/>
        </w:rPr>
      </w:pPr>
      <w:r w:rsidRPr="00AF3D16">
        <w:rPr>
          <w:b/>
          <w:i/>
          <w:color w:val="0070C0"/>
        </w:rPr>
        <w:t>Mandato Istituzionale e Missione</w:t>
      </w:r>
    </w:p>
    <w:p w:rsidR="00C144CE" w:rsidRDefault="00C144CE" w:rsidP="00C144CE">
      <w:pPr>
        <w:jc w:val="both"/>
      </w:pPr>
      <w:r w:rsidRPr="00C144CE">
        <w:t>La Missione dell’Azienda è quella di soddisfare i bisogni e le aspettative di salute</w:t>
      </w:r>
      <w:r>
        <w:t xml:space="preserve"> di ogni cittadino, assicurando in qualsiasi circostanza, la cura più adeguata, senza alcuna discriminazione di sesso, età, razza, nazionalità, religione, condizione sociale.</w:t>
      </w:r>
    </w:p>
    <w:p w:rsidR="00C144CE" w:rsidRDefault="00C144CE" w:rsidP="00C144CE">
      <w:pPr>
        <w:jc w:val="both"/>
      </w:pPr>
      <w:r>
        <w:t>Oltre che struttura di riferimento regionale e di rilievo nazionale, l’Azienda svolge in particolare il ruolo di ospedale generale per la Città Metropolitana di Palermo, e di ospedale pediatrico regionale.</w:t>
      </w:r>
    </w:p>
    <w:p w:rsidR="00C144CE" w:rsidRDefault="00C144CE" w:rsidP="00C144CE">
      <w:pPr>
        <w:jc w:val="both"/>
      </w:pPr>
      <w:r>
        <w:t>La visione strategica dell’Azienda è orientata al costante miglioramento organizzativo, logistico e infrastrutturale, teso a garantire appropriatezza, tempestività, efficacia e qualità dei servizi, in condizioni di sicurezza e nel rispetto della persona, attraverso una gestione efficiente delle risorse.</w:t>
      </w:r>
    </w:p>
    <w:p w:rsidR="00C144CE" w:rsidRDefault="00C144CE" w:rsidP="00C144CE">
      <w:pPr>
        <w:jc w:val="both"/>
      </w:pPr>
      <w:r>
        <w:t>La peculiarità dell’Ospedale Civico, Di Cristina, Benfratelli, come azienda</w:t>
      </w:r>
      <w:r w:rsidR="009B297A">
        <w:t xml:space="preserve"> </w:t>
      </w:r>
      <w:r>
        <w:t>sanitaria di rilievo nazionale, consiste nella disponibilità al proprio interno di tutte le</w:t>
      </w:r>
      <w:r w:rsidR="009B297A">
        <w:t xml:space="preserve"> </w:t>
      </w:r>
      <w:r>
        <w:t>specialità cliniche per il trattamento della fase acuta della malattia, a qualunque età, e</w:t>
      </w:r>
      <w:r w:rsidR="009B297A">
        <w:t xml:space="preserve"> </w:t>
      </w:r>
      <w:r>
        <w:t>pertanto riconosce come caratteristica prioritaria di indirizzo nel proprio</w:t>
      </w:r>
      <w:r w:rsidR="009B297A">
        <w:t xml:space="preserve"> </w:t>
      </w:r>
      <w:r>
        <w:t>funzionamento la massima integrazione delle competenze e tecnologie esistenti.</w:t>
      </w:r>
    </w:p>
    <w:p w:rsidR="00C144CE" w:rsidRDefault="00C144CE" w:rsidP="00C144CE">
      <w:pPr>
        <w:jc w:val="both"/>
      </w:pPr>
      <w:r>
        <w:t>L’ospedale stesso è parte di un sistema integrato, a rete, di servizi, professionisti</w:t>
      </w:r>
      <w:r w:rsidR="009B297A">
        <w:t xml:space="preserve"> </w:t>
      </w:r>
      <w:r>
        <w:t>sanitari e livelli di assistenza che compongono in un continuum l’offerta sanitaria</w:t>
      </w:r>
      <w:r w:rsidR="009B297A">
        <w:t xml:space="preserve"> </w:t>
      </w:r>
      <w:r>
        <w:t>regionale.</w:t>
      </w:r>
    </w:p>
    <w:p w:rsidR="00C144CE" w:rsidRDefault="00C144CE" w:rsidP="00C144CE">
      <w:pPr>
        <w:jc w:val="both"/>
      </w:pPr>
      <w:r>
        <w:lastRenderedPageBreak/>
        <w:t>Obiettivo dell’Azienda è concorrere al benessere ed alla tutela della persona,</w:t>
      </w:r>
      <w:r w:rsidR="009B297A">
        <w:t xml:space="preserve"> </w:t>
      </w:r>
      <w:r>
        <w:t>pertanto tutte le funzioni ed i livelli di responsabilità nell’organizzazione, sono</w:t>
      </w:r>
      <w:r w:rsidR="009B297A">
        <w:t xml:space="preserve"> </w:t>
      </w:r>
      <w:r>
        <w:t>regolati in una prospettiva di servizio e fondati sul principio della corresponsabilità</w:t>
      </w:r>
      <w:r w:rsidR="009B297A">
        <w:t xml:space="preserve"> </w:t>
      </w:r>
      <w:r>
        <w:t>nel conseguimento di un beneficio per l’utente come risultato delle attività.</w:t>
      </w:r>
    </w:p>
    <w:p w:rsidR="00C144CE" w:rsidRDefault="00C144CE" w:rsidP="00C144CE">
      <w:pPr>
        <w:jc w:val="both"/>
      </w:pPr>
      <w:r>
        <w:t>Il capitale più prezioso di cui l’Azienda dispone per assolvere la propria missione,</w:t>
      </w:r>
      <w:r w:rsidR="009B297A">
        <w:t xml:space="preserve"> </w:t>
      </w:r>
      <w:r>
        <w:t>è l’alta professionalità degli operatori, l’ospedale si caratterizza quindi, anche come</w:t>
      </w:r>
      <w:r w:rsidR="009B297A">
        <w:t xml:space="preserve"> </w:t>
      </w:r>
      <w:r>
        <w:t>luogo di sviluppo di cultura sanitaria, di ricerca intellettuale, di aggiornamento</w:t>
      </w:r>
      <w:r w:rsidR="009B297A">
        <w:t xml:space="preserve"> </w:t>
      </w:r>
      <w:r>
        <w:t>professionale e formazione continua.</w:t>
      </w:r>
    </w:p>
    <w:p w:rsidR="000E49C2" w:rsidRDefault="00C144CE" w:rsidP="000E49C2">
      <w:pPr>
        <w:jc w:val="both"/>
      </w:pPr>
      <w:r>
        <w:t>La crescita e lo sviluppo dell’ospedale dipendono dalla massima espressione di</w:t>
      </w:r>
      <w:r w:rsidR="009B297A">
        <w:t xml:space="preserve"> </w:t>
      </w:r>
      <w:r>
        <w:t>tutte le risorse disponibili, con un’apertura all’evoluzione del sistema. In questo</w:t>
      </w:r>
      <w:r w:rsidR="009B297A">
        <w:t xml:space="preserve"> </w:t>
      </w:r>
      <w:r>
        <w:t>senso, accanto all’aggiornamento tecnologico e organizzativo, l’attenzione è rivolta</w:t>
      </w:r>
      <w:r w:rsidR="009B297A">
        <w:t xml:space="preserve"> </w:t>
      </w:r>
      <w:r>
        <w:t>prioritariamente alla valorizzazione della risorsa umana, offrendo a tutto il persona</w:t>
      </w:r>
      <w:r w:rsidR="000E49C2">
        <w:t>le l’opportunità di sviluppare al meglio le proprie potenzialità e competenze.</w:t>
      </w:r>
    </w:p>
    <w:p w:rsidR="000E49C2" w:rsidRDefault="000E49C2" w:rsidP="000E49C2">
      <w:pPr>
        <w:jc w:val="both"/>
      </w:pPr>
      <w:r>
        <w:t>Il complesso delle azioni svolte dall’Azienda, sulla base delle risorse a disposizione, nel rispetto di quanto previsto dalla programmazione regionale e dai rapporti di collaborazione instaurati con le altre aziende sanitarie, è pertanto finalizzato a:</w:t>
      </w:r>
    </w:p>
    <w:p w:rsidR="000E49C2" w:rsidRDefault="000E49C2" w:rsidP="00915998">
      <w:pPr>
        <w:pStyle w:val="Paragrafoelenco"/>
        <w:numPr>
          <w:ilvl w:val="0"/>
          <w:numId w:val="19"/>
        </w:numPr>
        <w:jc w:val="both"/>
      </w:pPr>
      <w:r>
        <w:t>consolidare e potenziare le aree che caratterizzano l’Azienda come struttura di alta specialità incrementando, nel rispetto dei principi di appropriatezza, il “case mix”;</w:t>
      </w:r>
    </w:p>
    <w:p w:rsidR="000E49C2" w:rsidRDefault="000E49C2" w:rsidP="00915998">
      <w:pPr>
        <w:pStyle w:val="Paragrafoelenco"/>
        <w:numPr>
          <w:ilvl w:val="0"/>
          <w:numId w:val="19"/>
        </w:numPr>
        <w:jc w:val="both"/>
      </w:pPr>
      <w:r>
        <w:t>rafforzare il ruolo di riferimento svolto dall’Azienda nella risposta all’emergenza-urgenza in ambito provinciale e regionale;</w:t>
      </w:r>
    </w:p>
    <w:p w:rsidR="000E49C2" w:rsidRDefault="000E49C2" w:rsidP="00915998">
      <w:pPr>
        <w:pStyle w:val="Paragrafoelenco"/>
        <w:numPr>
          <w:ilvl w:val="0"/>
          <w:numId w:val="19"/>
        </w:numPr>
        <w:jc w:val="both"/>
      </w:pPr>
      <w:r>
        <w:t>assicurare la risposta quali-quantitativa alla domanda di salute del bacino locale di riferimento per le aree di intervento di base valorizzando la vocazione per acuti dell’Azienda;</w:t>
      </w:r>
    </w:p>
    <w:p w:rsidR="00E815A6" w:rsidRDefault="000E49C2" w:rsidP="00E815A6">
      <w:pPr>
        <w:pStyle w:val="Paragrafoelenco"/>
        <w:numPr>
          <w:ilvl w:val="0"/>
          <w:numId w:val="19"/>
        </w:numPr>
        <w:jc w:val="both"/>
      </w:pPr>
      <w:r>
        <w:t>favorire lo sviluppo dei necessari processi di integrazione, al proprio interno e nei rapporti con le altre strutture sanitarie e territoriali, volti ad assicurare ai pazienti la</w:t>
      </w:r>
      <w:r w:rsidR="009B297A">
        <w:t xml:space="preserve"> </w:t>
      </w:r>
      <w:r w:rsidR="00E815A6">
        <w:t>continuità assistenziale.</w:t>
      </w:r>
    </w:p>
    <w:p w:rsidR="00E815A6" w:rsidRDefault="00E815A6" w:rsidP="005E144C">
      <w:pPr>
        <w:jc w:val="both"/>
      </w:pPr>
      <w:r>
        <w:t xml:space="preserve">L’Azienda intende quindi realizzare la sua </w:t>
      </w:r>
      <w:r w:rsidRPr="00534233">
        <w:rPr>
          <w:i/>
        </w:rPr>
        <w:t>vision</w:t>
      </w:r>
      <w:r>
        <w:t xml:space="preserve"> attraverso:</w:t>
      </w:r>
    </w:p>
    <w:p w:rsidR="00E815A6" w:rsidRDefault="00E815A6" w:rsidP="00915998">
      <w:pPr>
        <w:pStyle w:val="Paragrafoelenco"/>
        <w:numPr>
          <w:ilvl w:val="0"/>
          <w:numId w:val="19"/>
        </w:numPr>
        <w:jc w:val="both"/>
      </w:pPr>
      <w:r>
        <w:t xml:space="preserve">l’organizzazione ospedaliera strutturata intorno al bisogno del paziente adottando un sistema basato su intensità e natura della cura con aree disciplinari integrate dove la persona compie un percorso interdisciplinare di diagnosi e cura; </w:t>
      </w:r>
    </w:p>
    <w:p w:rsidR="00E815A6" w:rsidRDefault="00E815A6" w:rsidP="00915998">
      <w:pPr>
        <w:pStyle w:val="Paragrafoelenco"/>
        <w:numPr>
          <w:ilvl w:val="0"/>
          <w:numId w:val="19"/>
        </w:numPr>
        <w:jc w:val="both"/>
      </w:pPr>
      <w:r>
        <w:t>la realizzazione di un modello di sviluppo continuo delle professionalità in considerazione del fatto che il patrimonio professionale aziendale è da considerare la leva fondamentale per poter perseguire le sue finalità assistenziali ed assicurarsi la possibilità di mantenere e migliorare nel tempo il posizionamento già conseguito;</w:t>
      </w:r>
    </w:p>
    <w:p w:rsidR="00E815A6" w:rsidRDefault="00E815A6" w:rsidP="00915998">
      <w:pPr>
        <w:pStyle w:val="Paragrafoelenco"/>
        <w:numPr>
          <w:ilvl w:val="0"/>
          <w:numId w:val="19"/>
        </w:numPr>
        <w:jc w:val="both"/>
      </w:pPr>
      <w:r>
        <w:t>il mantenimento delle logiche e degli strumenti del miglioramento continuo dei risultati sia sul fronte clinico assistenziale che su quello dell’efficienza gestionale;</w:t>
      </w:r>
    </w:p>
    <w:p w:rsidR="009B297A" w:rsidRDefault="00E815A6" w:rsidP="00915998">
      <w:pPr>
        <w:pStyle w:val="Paragrafoelenco"/>
        <w:numPr>
          <w:ilvl w:val="0"/>
          <w:numId w:val="19"/>
        </w:numPr>
        <w:jc w:val="both"/>
      </w:pPr>
      <w:r>
        <w:t>la ricerca di nuove soluzioni organizzative basate sui principi della flessibilità e dell’economicità, anche agendo nel ridisegno complessivo della struttura organizzativa e del sistema delle responsabilità;</w:t>
      </w:r>
    </w:p>
    <w:p w:rsidR="00915998" w:rsidRDefault="00915998" w:rsidP="00915998">
      <w:pPr>
        <w:pStyle w:val="Paragrafoelenco"/>
        <w:numPr>
          <w:ilvl w:val="0"/>
          <w:numId w:val="19"/>
        </w:numPr>
        <w:jc w:val="both"/>
      </w:pPr>
      <w:r>
        <w:t>la tendenza ad assicurare i più elevati standard qualitativi per il soddisfacimento delle esigenze dei pazienti e dei loro familiari sotto i profili della competenza tecnico professionale, della cortesia e della disponibilità del personale oltre che della rapidità nella gestione della pratica amministrativa e del confort alberghiero;</w:t>
      </w:r>
    </w:p>
    <w:p w:rsidR="00915998" w:rsidRDefault="00915998" w:rsidP="00915998">
      <w:pPr>
        <w:pStyle w:val="Paragrafoelenco"/>
        <w:numPr>
          <w:ilvl w:val="0"/>
          <w:numId w:val="19"/>
        </w:numPr>
        <w:jc w:val="both"/>
      </w:pPr>
      <w:r>
        <w:t>la possibilità di realizzare o partecipare a programmi di ricerca finalizzati alla sperimentazione ed applicazione delle pratiche ospedaliere e delle evidenze scientifiche migliori e più avanzate.</w:t>
      </w:r>
    </w:p>
    <w:p w:rsidR="006570F6" w:rsidRDefault="006570F6" w:rsidP="00FC0446">
      <w:pPr>
        <w:jc w:val="both"/>
        <w:rPr>
          <w:b/>
          <w:i/>
          <w:color w:val="0070C0"/>
        </w:rPr>
      </w:pPr>
    </w:p>
    <w:p w:rsidR="00FC0446" w:rsidRPr="00FC0446" w:rsidRDefault="00FC0446" w:rsidP="00FC0446">
      <w:pPr>
        <w:jc w:val="both"/>
        <w:rPr>
          <w:b/>
          <w:i/>
          <w:color w:val="0070C0"/>
        </w:rPr>
      </w:pPr>
      <w:r w:rsidRPr="00FC0446">
        <w:rPr>
          <w:b/>
          <w:i/>
          <w:color w:val="0070C0"/>
        </w:rPr>
        <w:lastRenderedPageBreak/>
        <w:t>3.</w:t>
      </w:r>
      <w:r w:rsidR="00915998">
        <w:rPr>
          <w:b/>
          <w:i/>
          <w:color w:val="0070C0"/>
        </w:rPr>
        <w:t>3</w:t>
      </w:r>
      <w:r w:rsidRPr="00FC0446">
        <w:rPr>
          <w:b/>
          <w:i/>
          <w:color w:val="0070C0"/>
        </w:rPr>
        <w:t xml:space="preserve">. L’Albero della performance </w:t>
      </w:r>
    </w:p>
    <w:p w:rsidR="00FC0446" w:rsidRDefault="00FC0446" w:rsidP="00FC0446">
      <w:pPr>
        <w:jc w:val="both"/>
      </w:pPr>
      <w:r>
        <w:t>L’attuale</w:t>
      </w:r>
      <w:r w:rsidR="00B23FB2">
        <w:t xml:space="preserve"> </w:t>
      </w:r>
      <w:r>
        <w:t>articolazione organizzativa dell’Azienda</w:t>
      </w:r>
      <w:r w:rsidR="00B23FB2">
        <w:t>, derivante da Atto Aziendale approvato con DA 2149 del 3 settembre 2010, è improntata</w:t>
      </w:r>
      <w:r>
        <w:t xml:space="preserve"> a criteri di flessibilità tesi a garantire il tempestivo ed idoneo adeguamento al mutare delle funzioni, dei programmi e degli </w:t>
      </w:r>
      <w:r w:rsidR="00B23FB2">
        <w:t>obiettivi.</w:t>
      </w:r>
    </w:p>
    <w:p w:rsidR="00B23FB2" w:rsidRDefault="00B23FB2" w:rsidP="00FC0446">
      <w:pPr>
        <w:jc w:val="both"/>
      </w:pPr>
      <w:r>
        <w:t xml:space="preserve">Tuttavia, l’applicazione del DA del </w:t>
      </w:r>
      <w:r w:rsidRPr="00B23FB2">
        <w:t>14 gennaio 2015</w:t>
      </w:r>
      <w:r>
        <w:t xml:space="preserve"> “Riqualificazione e rifunzionalizzazione della rete ospe</w:t>
      </w:r>
      <w:r w:rsidRPr="00B23FB2">
        <w:t>daliera-territoriale della Regione Sicilia</w:t>
      </w:r>
      <w:r>
        <w:t>”, pubblicato su GURS del 23 gennaio 2015, porterà, nei prossimi mesi, a modifiche organizzative e strutturali, che esiteranno in un nuovo Atto Aziendale più funzionale ai nuovi modelli organizzativi</w:t>
      </w:r>
      <w:r w:rsidRPr="00B23FB2">
        <w:t>.</w:t>
      </w:r>
    </w:p>
    <w:p w:rsidR="00FC0446" w:rsidRDefault="00B23FB2" w:rsidP="00FC0446">
      <w:pPr>
        <w:jc w:val="both"/>
      </w:pPr>
      <w:r>
        <w:t>In atto, l</w:t>
      </w:r>
      <w:r w:rsidR="00FC0446">
        <w:t>’Azienda adotta</w:t>
      </w:r>
      <w:r>
        <w:t xml:space="preserve"> </w:t>
      </w:r>
      <w:r w:rsidR="00FC0446">
        <w:t xml:space="preserve">l’organizzazione </w:t>
      </w:r>
      <w:r>
        <w:t>dipartimentale come</w:t>
      </w:r>
      <w:r w:rsidR="00FC0446">
        <w:t xml:space="preserve"> modello</w:t>
      </w:r>
      <w:r>
        <w:t xml:space="preserve"> ordinario </w:t>
      </w:r>
      <w:r w:rsidR="00FC0446">
        <w:t>di</w:t>
      </w:r>
      <w:r>
        <w:t xml:space="preserve"> gestione</w:t>
      </w:r>
      <w:r w:rsidR="00FC0446">
        <w:t xml:space="preserve">. La relativa struttura organizzativa si articola quindi in: </w:t>
      </w:r>
    </w:p>
    <w:p w:rsidR="00B23FB2" w:rsidRDefault="00FC0446" w:rsidP="00B23FB2">
      <w:pPr>
        <w:pStyle w:val="Paragrafoelenco"/>
        <w:numPr>
          <w:ilvl w:val="0"/>
          <w:numId w:val="6"/>
        </w:numPr>
        <w:jc w:val="both"/>
      </w:pPr>
      <w:r>
        <w:t xml:space="preserve">Direzione Aziendale e Uffici di Staff;  </w:t>
      </w:r>
    </w:p>
    <w:p w:rsidR="00FC0446" w:rsidRDefault="00FC0446" w:rsidP="00B23FB2">
      <w:pPr>
        <w:pStyle w:val="Paragrafoelenco"/>
        <w:numPr>
          <w:ilvl w:val="0"/>
          <w:numId w:val="6"/>
        </w:numPr>
        <w:jc w:val="both"/>
      </w:pPr>
      <w:r>
        <w:t xml:space="preserve">Dipartimenti Funzionali; </w:t>
      </w:r>
    </w:p>
    <w:p w:rsidR="00FC0446" w:rsidRDefault="00FC0446" w:rsidP="00B23FB2">
      <w:pPr>
        <w:pStyle w:val="Paragrafoelenco"/>
        <w:numPr>
          <w:ilvl w:val="0"/>
          <w:numId w:val="6"/>
        </w:numPr>
        <w:jc w:val="both"/>
      </w:pPr>
      <w:r>
        <w:t xml:space="preserve">Strutture Complesse; </w:t>
      </w:r>
    </w:p>
    <w:p w:rsidR="00B23FB2" w:rsidRDefault="00FC0446" w:rsidP="00B23FB2">
      <w:pPr>
        <w:pStyle w:val="Paragrafoelenco"/>
        <w:numPr>
          <w:ilvl w:val="0"/>
          <w:numId w:val="6"/>
        </w:numPr>
        <w:jc w:val="both"/>
      </w:pPr>
      <w:r>
        <w:t xml:space="preserve">Strutture Semplici a Valenza Dipartimentale;  </w:t>
      </w:r>
    </w:p>
    <w:p w:rsidR="00FC0446" w:rsidRDefault="00B23FB2" w:rsidP="00B23FB2">
      <w:pPr>
        <w:pStyle w:val="Paragrafoelenco"/>
        <w:numPr>
          <w:ilvl w:val="0"/>
          <w:numId w:val="6"/>
        </w:numPr>
        <w:jc w:val="both"/>
      </w:pPr>
      <w:r>
        <w:t>Strutture Semplici.</w:t>
      </w:r>
      <w:r w:rsidR="00FC0446">
        <w:t xml:space="preserve"> </w:t>
      </w:r>
    </w:p>
    <w:p w:rsidR="00FC0446" w:rsidRDefault="00FC0446" w:rsidP="00FC0446">
      <w:pPr>
        <w:jc w:val="both"/>
      </w:pPr>
      <w:r>
        <w:t>Per</w:t>
      </w:r>
      <w:r w:rsidR="00C13E7C">
        <w:t xml:space="preserve"> </w:t>
      </w:r>
      <w:r>
        <w:t>“struttura”</w:t>
      </w:r>
      <w:r w:rsidR="00C13E7C">
        <w:t xml:space="preserve"> </w:t>
      </w:r>
      <w:r>
        <w:t>si</w:t>
      </w:r>
      <w:r w:rsidR="00C13E7C">
        <w:t xml:space="preserve"> </w:t>
      </w:r>
      <w:r>
        <w:t>intende l’articolazione</w:t>
      </w:r>
      <w:r w:rsidR="00C13E7C">
        <w:t xml:space="preserve"> </w:t>
      </w:r>
      <w:r>
        <w:t>interna dell’Azienda</w:t>
      </w:r>
      <w:r w:rsidR="00C13E7C">
        <w:t xml:space="preserve"> </w:t>
      </w:r>
      <w:r>
        <w:t>alla</w:t>
      </w:r>
      <w:r w:rsidR="00C13E7C">
        <w:t xml:space="preserve"> </w:t>
      </w:r>
      <w:r>
        <w:t>quale</w:t>
      </w:r>
      <w:r w:rsidR="00C13E7C">
        <w:t xml:space="preserve"> è </w:t>
      </w:r>
      <w:r>
        <w:t xml:space="preserve">attribuita la responsabilità di beni strumentali e risorse umane e tecnologiche. La Struttura costituisce quindi un “Centro di Responsabilità” gestionale, e il suo Responsabile partecipa attivamente ai processi di Budget aziendali e alla definizione delle modalità di raggiungimento degli obiettivi. </w:t>
      </w:r>
    </w:p>
    <w:p w:rsidR="005D364C" w:rsidRDefault="005D364C" w:rsidP="005D364C">
      <w:pPr>
        <w:jc w:val="both"/>
      </w:pPr>
      <w:r>
        <w:t xml:space="preserve">Le </w:t>
      </w:r>
      <w:r w:rsidRPr="005D364C">
        <w:rPr>
          <w:b/>
          <w:color w:val="000066"/>
        </w:rPr>
        <w:t>Strutture organizzative</w:t>
      </w:r>
      <w:r w:rsidRPr="005D364C">
        <w:rPr>
          <w:color w:val="000066"/>
        </w:rPr>
        <w:t xml:space="preserve"> </w:t>
      </w:r>
      <w:r>
        <w:t xml:space="preserve">si distinguono in Complesse, Dipartimentali e Semplici, in relazione alla intensità assunta dalle variabili citate e all’ampiezza degli ambiti di autonomia e di responsabilità conferiti dall’Azienda. </w:t>
      </w:r>
    </w:p>
    <w:p w:rsidR="005D364C" w:rsidRDefault="005D364C" w:rsidP="005D364C">
      <w:pPr>
        <w:jc w:val="both"/>
      </w:pPr>
      <w:r>
        <w:t xml:space="preserve"> Gli </w:t>
      </w:r>
      <w:r w:rsidRPr="005D364C">
        <w:rPr>
          <w:b/>
          <w:color w:val="000066"/>
        </w:rPr>
        <w:t>Organi dell’Azienda</w:t>
      </w:r>
      <w:r w:rsidRPr="005D364C">
        <w:rPr>
          <w:color w:val="000066"/>
        </w:rPr>
        <w:t xml:space="preserve"> </w:t>
      </w:r>
      <w:r>
        <w:t xml:space="preserve">sono: la Direzione Aziendale – costituita dal Direttore Generale, dal Direttore Amministrativo e dal Direttore </w:t>
      </w:r>
      <w:r>
        <w:tab/>
        <w:t>Sanitario – il Collegio di</w:t>
      </w:r>
      <w:r>
        <w:tab/>
        <w:t xml:space="preserve">Direzione e il Collegio Sindacale (D.Lgs 502/92, articolo 3, comma 1-quater, e ss.mm.ii.). </w:t>
      </w:r>
    </w:p>
    <w:p w:rsidR="005D364C" w:rsidRDefault="005D364C" w:rsidP="005D364C">
      <w:pPr>
        <w:jc w:val="both"/>
      </w:pPr>
      <w:r>
        <w:t xml:space="preserve">Il </w:t>
      </w:r>
      <w:r w:rsidRPr="005D364C">
        <w:rPr>
          <w:b/>
          <w:color w:val="000066"/>
        </w:rPr>
        <w:t>Direttore Generale</w:t>
      </w:r>
      <w:r w:rsidRPr="005D364C">
        <w:rPr>
          <w:color w:val="000066"/>
        </w:rPr>
        <w:t xml:space="preserve"> </w:t>
      </w:r>
      <w:r>
        <w:t xml:space="preserve">è il legale rappresentante dell’Azienda; è responsabile della gestione complessiva dell’Azienda ed è tenuto, pertanto, ad assicurarne il regolare funzionamento anche attraverso l’esercizio dei poteri di indirizzo e controllo. Esercita direttamente tutte le funzioni non attribuite, da disposizioni di legge o regolamenti attuativi, ad altri livelli direzionali o dirigenziali. Al Direttore Generale spettano in particolare:  </w:t>
      </w:r>
    </w:p>
    <w:tbl>
      <w:tblPr>
        <w:tblStyle w:val="Grigliatabella"/>
        <w:tblW w:w="0" w:type="auto"/>
        <w:shd w:val="clear" w:color="auto" w:fill="EFF9FF"/>
        <w:tblLook w:val="04A0" w:firstRow="1" w:lastRow="0" w:firstColumn="1" w:lastColumn="0" w:noHBand="0" w:noVBand="1"/>
      </w:tblPr>
      <w:tblGrid>
        <w:gridCol w:w="9628"/>
      </w:tblGrid>
      <w:tr w:rsidR="00F3512E" w:rsidRPr="00F3512E" w:rsidTr="00F3512E">
        <w:tc>
          <w:tcPr>
            <w:tcW w:w="9778" w:type="dxa"/>
            <w:shd w:val="clear" w:color="auto" w:fill="EFF9FF"/>
          </w:tcPr>
          <w:p w:rsidR="006B06CB" w:rsidRDefault="006B06CB" w:rsidP="006B06CB">
            <w:pPr>
              <w:pStyle w:val="Paragrafoelenco"/>
              <w:numPr>
                <w:ilvl w:val="0"/>
                <w:numId w:val="17"/>
              </w:numPr>
              <w:jc w:val="both"/>
              <w:rPr>
                <w:sz w:val="20"/>
                <w:szCs w:val="20"/>
              </w:rPr>
            </w:pPr>
            <w:r w:rsidRPr="006B06CB">
              <w:rPr>
                <w:sz w:val="20"/>
                <w:szCs w:val="20"/>
              </w:rPr>
              <w:t>la gestione complessiva dell’Azienda ed è tenuto pertanto, ad assicurarne il regolare funzionamento anche attraverso l’esercizio dei poteri di indirizzo e controllo</w:t>
            </w:r>
            <w:r>
              <w:rPr>
                <w:sz w:val="20"/>
                <w:szCs w:val="20"/>
              </w:rPr>
              <w:t>;</w:t>
            </w:r>
          </w:p>
          <w:p w:rsidR="006B06CB" w:rsidRDefault="006B06CB" w:rsidP="006B06CB">
            <w:pPr>
              <w:pStyle w:val="Paragrafoelenco"/>
              <w:numPr>
                <w:ilvl w:val="0"/>
                <w:numId w:val="17"/>
              </w:numPr>
              <w:jc w:val="both"/>
              <w:rPr>
                <w:sz w:val="20"/>
                <w:szCs w:val="20"/>
              </w:rPr>
            </w:pPr>
            <w:r w:rsidRPr="006B06CB">
              <w:rPr>
                <w:sz w:val="20"/>
                <w:szCs w:val="20"/>
              </w:rPr>
              <w:t xml:space="preserve">tutte le funzioni non attribuite, da disposizioni di legge o regolamenti attuativi, ad altri livelli direzionali o dirigenziali, in particolare: a) l’adozione dell’atto Aziendale di cui all’art. 3 comma 1 bis del D.Lgs. 502/92 e sue successive modificazioni, b) l’adozione di tutti gli atti relativi ai piani strategici pluriennali ed ai piani programmatici annuali di attività, c) l’adozione di tutti gli atti riguardanti la definizione di obiettivi, priorità, piani, programmi e direttive generali per l’azione amministrativa e la gestione, d) l’adozione di tutti gli atti relativi alla programmazione economica, finanziaria e di bilancio, compresi quelli relativi alla gestione complessiva e per struttura definiti attraverso la metodologia della negoziazione per budget ai sensi dell’art. 5, comma 4 e segg. del D. Lgs. 502/92 e successive modificazioni ed integrazioni nonché degli artt. 14 comma 1 e 20, comma 1 e 2, del D. Lgs. 165/2001, e) la programmazione triennale del fabbisogno di risorse e la programmazione annuale delle dinamiche complessive del personale, f) l’adozione della relazione sanitaria Aziendale annuale, g) l’individuazione delle risorse umane, materiali ed economico-finanziarie da destinare alle diverse finalità e la loro ripartizione tra le strutture complesse, h) l’adozione di tutti gli atti riguardanti l’acquisizione di beni e servizi per importi superiori alle quote eventualmente delegate, i) l’adozione di tutti </w:t>
            </w:r>
            <w:r w:rsidRPr="006B06CB">
              <w:rPr>
                <w:sz w:val="20"/>
                <w:szCs w:val="20"/>
              </w:rPr>
              <w:lastRenderedPageBreak/>
              <w:t>gli atti riguardanti il trasferimento di personale presso altri enti e l’assunzione di personale, j) l’adozione di tutti gli atti aventi come oggetto la determinazione di tariffe, canoni e analoghi oneri a carico di terzi, k) la nomina dei componenti i Collegi Tecnici e dell’OIV, l) le nomine, designazioni, sospensioni, decadenze ed atti analoghi ad esso attribuiti da specifiche disposizioni, m) le decisioni e l’adozione dei relativi atti di indirizzo interpretativo ed applicativo in materia di norme nazionali e regionali, n) le decisioni in ordine al trasferimento nell’ambito dell’Azienda dei singoli presidi, o) le decisioni in materia di liti attive e passive, conciliazioni e transazioni, p) gli atti relativi al personale concernenti: la nomina dei Direttori di Dipartimento</w:t>
            </w:r>
            <w:r>
              <w:rPr>
                <w:sz w:val="20"/>
                <w:szCs w:val="20"/>
              </w:rPr>
              <w:t xml:space="preserve">, </w:t>
            </w:r>
            <w:r w:rsidRPr="006B06CB">
              <w:rPr>
                <w:sz w:val="20"/>
                <w:szCs w:val="20"/>
              </w:rPr>
              <w:t>la nomina dei dirigenti responsabili di struttura complessa, semplice e semplice a valenza dipartimentale</w:t>
            </w:r>
            <w:r>
              <w:rPr>
                <w:sz w:val="20"/>
                <w:szCs w:val="20"/>
              </w:rPr>
              <w:t>,</w:t>
            </w:r>
            <w:r w:rsidRPr="006B06CB">
              <w:rPr>
                <w:sz w:val="20"/>
                <w:szCs w:val="20"/>
              </w:rPr>
              <w:t xml:space="preserve"> l’attribuzione e la definizione degli incarichi di collaborazione esterna</w:t>
            </w:r>
            <w:r>
              <w:rPr>
                <w:sz w:val="20"/>
                <w:szCs w:val="20"/>
              </w:rPr>
              <w:t xml:space="preserve">, </w:t>
            </w:r>
            <w:r w:rsidRPr="006B06CB">
              <w:rPr>
                <w:sz w:val="20"/>
                <w:szCs w:val="20"/>
              </w:rPr>
              <w:t>i provvedimenti di mobilità interna delle figure dirigenziali dell’Azienda; l’individuazione dell’ufficio competente per i procedimenti disciplinari</w:t>
            </w:r>
            <w:r>
              <w:rPr>
                <w:sz w:val="20"/>
                <w:szCs w:val="20"/>
              </w:rPr>
              <w:t>,</w:t>
            </w:r>
            <w:r w:rsidRPr="006B06CB">
              <w:rPr>
                <w:sz w:val="20"/>
                <w:szCs w:val="20"/>
              </w:rPr>
              <w:t xml:space="preserve"> l’individuazione dei collaboratori posti alle sue dirette dipendenze</w:t>
            </w:r>
            <w:r>
              <w:rPr>
                <w:sz w:val="20"/>
                <w:szCs w:val="20"/>
              </w:rPr>
              <w:t>,</w:t>
            </w:r>
            <w:r w:rsidRPr="006B06CB">
              <w:rPr>
                <w:sz w:val="20"/>
                <w:szCs w:val="20"/>
              </w:rPr>
              <w:t xml:space="preserve"> l’individuazione del Responsabile del Servizio di Prevenzione e Protezione, del Medico Competente e del Medico Autorizzato</w:t>
            </w:r>
            <w:r>
              <w:rPr>
                <w:sz w:val="20"/>
                <w:szCs w:val="20"/>
              </w:rPr>
              <w:t>,</w:t>
            </w:r>
            <w:r w:rsidRPr="006B06CB">
              <w:rPr>
                <w:sz w:val="20"/>
                <w:szCs w:val="20"/>
              </w:rPr>
              <w:t xml:space="preserve"> ogni altro atto concernente la scelta delle risorse umane: l’autorizzazione alla sottoscrizione o la sottoscrizione definitiva dei contratti collettivi integrativi.  </w:t>
            </w:r>
          </w:p>
          <w:p w:rsidR="006B06CB" w:rsidRDefault="006B06CB" w:rsidP="006B06CB">
            <w:pPr>
              <w:pStyle w:val="Paragrafoelenco"/>
              <w:numPr>
                <w:ilvl w:val="0"/>
                <w:numId w:val="17"/>
              </w:numPr>
              <w:jc w:val="both"/>
              <w:rPr>
                <w:sz w:val="20"/>
                <w:szCs w:val="20"/>
              </w:rPr>
            </w:pPr>
            <w:r>
              <w:rPr>
                <w:sz w:val="20"/>
                <w:szCs w:val="20"/>
              </w:rPr>
              <w:t>la</w:t>
            </w:r>
            <w:r w:rsidRPr="006B06CB">
              <w:rPr>
                <w:sz w:val="20"/>
                <w:szCs w:val="20"/>
              </w:rPr>
              <w:t xml:space="preserve"> nomina </w:t>
            </w:r>
            <w:r>
              <w:rPr>
                <w:sz w:val="20"/>
                <w:szCs w:val="20"/>
              </w:rPr>
              <w:t>de</w:t>
            </w:r>
            <w:r w:rsidRPr="006B06CB">
              <w:rPr>
                <w:sz w:val="20"/>
                <w:szCs w:val="20"/>
              </w:rPr>
              <w:t xml:space="preserve">l Direttore Amministrativo e </w:t>
            </w:r>
            <w:r>
              <w:rPr>
                <w:sz w:val="20"/>
                <w:szCs w:val="20"/>
              </w:rPr>
              <w:t>de</w:t>
            </w:r>
            <w:r w:rsidRPr="006B06CB">
              <w:rPr>
                <w:sz w:val="20"/>
                <w:szCs w:val="20"/>
              </w:rPr>
              <w:t>l Direttore Sanitario</w:t>
            </w:r>
            <w:r>
              <w:rPr>
                <w:sz w:val="20"/>
                <w:szCs w:val="20"/>
              </w:rPr>
              <w:t xml:space="preserve">, </w:t>
            </w:r>
            <w:r w:rsidRPr="006B06CB">
              <w:rPr>
                <w:sz w:val="20"/>
                <w:szCs w:val="20"/>
              </w:rPr>
              <w:t xml:space="preserve">la revoca dell’incarico agli stessi conferito ove concorrano le cause di risoluzione del rapporto di cui all’art. 3 bis comma 8 del D. Lgs. 502/92 come modificato dal D. Lgs. 229/99. 5. Il Direttore Generale, in quanto responsabile della direzione complessiva dell’Azienda, nomina e revoca i responsabili delle strutture organizzative - semplici e complesse - dell’Azienda secondo le procedure previste nel presente atto Aziendale e dalla normativa legale e contrattuale in materia. </w:t>
            </w:r>
          </w:p>
          <w:p w:rsidR="00F3512E" w:rsidRPr="006B06CB" w:rsidRDefault="006B06CB" w:rsidP="006B06CB">
            <w:pPr>
              <w:pStyle w:val="Paragrafoelenco"/>
              <w:numPr>
                <w:ilvl w:val="0"/>
                <w:numId w:val="17"/>
              </w:numPr>
              <w:jc w:val="both"/>
              <w:rPr>
                <w:sz w:val="20"/>
                <w:szCs w:val="20"/>
              </w:rPr>
            </w:pPr>
            <w:r w:rsidRPr="006B06CB">
              <w:rPr>
                <w:sz w:val="20"/>
                <w:szCs w:val="20"/>
              </w:rPr>
              <w:t xml:space="preserve">nel rispetto dei principi generali dell’ordinamento, può annullare di ufficio e/o revocare i provvedimenti amministrativi illegittimi o inopportuni, nonché assumere, le iniziative consentite dal Codice Civile. </w:t>
            </w:r>
          </w:p>
        </w:tc>
      </w:tr>
    </w:tbl>
    <w:p w:rsidR="00F3512E" w:rsidRDefault="00F3512E" w:rsidP="005D364C">
      <w:pPr>
        <w:jc w:val="both"/>
      </w:pPr>
    </w:p>
    <w:p w:rsidR="008D3B17" w:rsidRDefault="008D3B17" w:rsidP="008D3B17">
      <w:pPr>
        <w:jc w:val="both"/>
      </w:pPr>
      <w:r>
        <w:t xml:space="preserve">Il </w:t>
      </w:r>
      <w:r w:rsidRPr="008D3B17">
        <w:rPr>
          <w:b/>
          <w:color w:val="000066"/>
        </w:rPr>
        <w:t>Collegio Sindacale</w:t>
      </w:r>
      <w:r w:rsidRPr="008D3B17">
        <w:rPr>
          <w:color w:val="000066"/>
        </w:rPr>
        <w:t xml:space="preserve"> </w:t>
      </w:r>
      <w:r>
        <w:t xml:space="preserve">esercita il controllo interno di regolarità amministrativa e contabile rispettando, in quanto applicabili alla pubblica amministrazione, i principi della revisione Aziendale osservati dagli ordini e collegi professionali operanti nel settore. Esso, in particolare: </w:t>
      </w:r>
    </w:p>
    <w:tbl>
      <w:tblPr>
        <w:tblStyle w:val="Grigliatabella"/>
        <w:tblW w:w="0" w:type="auto"/>
        <w:shd w:val="clear" w:color="auto" w:fill="EFF9FF"/>
        <w:tblLook w:val="04A0" w:firstRow="1" w:lastRow="0" w:firstColumn="1" w:lastColumn="0" w:noHBand="0" w:noVBand="1"/>
      </w:tblPr>
      <w:tblGrid>
        <w:gridCol w:w="9628"/>
      </w:tblGrid>
      <w:tr w:rsidR="006B06CB" w:rsidRPr="00F3512E" w:rsidTr="006B06CB">
        <w:tc>
          <w:tcPr>
            <w:tcW w:w="9778" w:type="dxa"/>
            <w:shd w:val="clear" w:color="auto" w:fill="EFF9FF"/>
          </w:tcPr>
          <w:p w:rsidR="00F95F8E" w:rsidRDefault="00F95F8E" w:rsidP="00F95F8E">
            <w:pPr>
              <w:pStyle w:val="Paragrafoelenco"/>
              <w:numPr>
                <w:ilvl w:val="0"/>
                <w:numId w:val="17"/>
              </w:numPr>
              <w:jc w:val="both"/>
              <w:rPr>
                <w:sz w:val="20"/>
                <w:szCs w:val="20"/>
              </w:rPr>
            </w:pPr>
            <w:r w:rsidRPr="00F95F8E">
              <w:rPr>
                <w:sz w:val="20"/>
                <w:szCs w:val="20"/>
              </w:rPr>
              <w:t xml:space="preserve">vigila sull’osservanza della legge; </w:t>
            </w:r>
          </w:p>
          <w:p w:rsidR="00F95F8E" w:rsidRDefault="00F95F8E" w:rsidP="00F95F8E">
            <w:pPr>
              <w:pStyle w:val="Paragrafoelenco"/>
              <w:numPr>
                <w:ilvl w:val="0"/>
                <w:numId w:val="17"/>
              </w:numPr>
              <w:jc w:val="both"/>
              <w:rPr>
                <w:sz w:val="20"/>
                <w:szCs w:val="20"/>
              </w:rPr>
            </w:pPr>
            <w:r w:rsidRPr="00F95F8E">
              <w:rPr>
                <w:sz w:val="20"/>
                <w:szCs w:val="20"/>
              </w:rPr>
              <w:t xml:space="preserve">accerta la regolare tenuta della contabilità e la conformità del bilancio alle risultanze dei libri e delle scritture contabili, ed effettua periodicamente verifiche di cassa; </w:t>
            </w:r>
          </w:p>
          <w:p w:rsidR="00F95F8E" w:rsidRDefault="00F95F8E" w:rsidP="00F95F8E">
            <w:pPr>
              <w:pStyle w:val="Paragrafoelenco"/>
              <w:numPr>
                <w:ilvl w:val="0"/>
                <w:numId w:val="17"/>
              </w:numPr>
              <w:jc w:val="both"/>
              <w:rPr>
                <w:sz w:val="20"/>
                <w:szCs w:val="20"/>
              </w:rPr>
            </w:pPr>
            <w:r w:rsidRPr="00F95F8E">
              <w:rPr>
                <w:sz w:val="20"/>
                <w:szCs w:val="20"/>
              </w:rPr>
              <w:t xml:space="preserve">riferisce alla Regione, anche su richiesta di quest’ultima, sui risultati del riscontro eseguito;  </w:t>
            </w:r>
          </w:p>
          <w:p w:rsidR="006B06CB" w:rsidRPr="006B06CB" w:rsidRDefault="00F95F8E" w:rsidP="00F95F8E">
            <w:pPr>
              <w:pStyle w:val="Paragrafoelenco"/>
              <w:numPr>
                <w:ilvl w:val="0"/>
                <w:numId w:val="17"/>
              </w:numPr>
              <w:jc w:val="both"/>
              <w:rPr>
                <w:sz w:val="20"/>
                <w:szCs w:val="20"/>
              </w:rPr>
            </w:pPr>
            <w:r w:rsidRPr="00F95F8E">
              <w:rPr>
                <w:sz w:val="20"/>
                <w:szCs w:val="20"/>
              </w:rPr>
              <w:t xml:space="preserve">trasmette, con cadenza semestrale, una propria relazione sull’andamento dell’attività dell’Azienda ospedaliera a Direttore Generale ed al Sindaco del Comune di Palermo. </w:t>
            </w:r>
          </w:p>
        </w:tc>
      </w:tr>
    </w:tbl>
    <w:p w:rsidR="006B06CB" w:rsidRDefault="006B06CB" w:rsidP="008D3B17">
      <w:pPr>
        <w:jc w:val="both"/>
      </w:pPr>
    </w:p>
    <w:p w:rsidR="008D3B17" w:rsidRDefault="008D3B17" w:rsidP="008D3B17">
      <w:pPr>
        <w:jc w:val="both"/>
      </w:pPr>
      <w:r>
        <w:t xml:space="preserve">Il </w:t>
      </w:r>
      <w:r w:rsidRPr="005F076A">
        <w:rPr>
          <w:b/>
          <w:color w:val="000066"/>
        </w:rPr>
        <w:t>Collegio di Direzione</w:t>
      </w:r>
      <w:r w:rsidRPr="005F076A">
        <w:rPr>
          <w:color w:val="000066"/>
        </w:rPr>
        <w:t xml:space="preserve"> </w:t>
      </w:r>
      <w:r>
        <w:t>(quale</w:t>
      </w:r>
      <w:r w:rsidR="005F076A">
        <w:t xml:space="preserve"> </w:t>
      </w:r>
      <w:r>
        <w:t>organo</w:t>
      </w:r>
      <w:r w:rsidR="005F076A">
        <w:t xml:space="preserve"> </w:t>
      </w:r>
      <w:r>
        <w:t>dell’azienda così</w:t>
      </w:r>
      <w:r w:rsidR="005F076A">
        <w:t xml:space="preserve"> </w:t>
      </w:r>
      <w:r>
        <w:t>come</w:t>
      </w:r>
      <w:r w:rsidR="005F076A">
        <w:t xml:space="preserve"> </w:t>
      </w:r>
      <w:r>
        <w:t>indicato</w:t>
      </w:r>
      <w:r w:rsidR="005F076A">
        <w:t xml:space="preserve"> </w:t>
      </w:r>
      <w:r>
        <w:t>nell’articolo</w:t>
      </w:r>
      <w:r w:rsidR="005F076A">
        <w:t xml:space="preserve"> </w:t>
      </w:r>
      <w:r>
        <w:t>4, comma</w:t>
      </w:r>
      <w:r w:rsidR="005F076A">
        <w:t xml:space="preserve"> </w:t>
      </w:r>
      <w:r>
        <w:t xml:space="preserve">3, del </w:t>
      </w:r>
      <w:r w:rsidR="005F076A">
        <w:t xml:space="preserve">D.Lgs. </w:t>
      </w:r>
      <w:r>
        <w:t>158/2012),</w:t>
      </w:r>
      <w:r w:rsidR="005F076A">
        <w:t xml:space="preserve"> </w:t>
      </w:r>
      <w:r>
        <w:t xml:space="preserve">concorre al governo delle attività cliniche, partecipa alla </w:t>
      </w:r>
      <w:r w:rsidR="005F076A">
        <w:t>p</w:t>
      </w:r>
      <w:r>
        <w:t>ianificazione delle attività, incluse la ricerca, la didattica, i programmi di formazione e le soluzioni organizzative per</w:t>
      </w:r>
      <w:r w:rsidR="005F076A">
        <w:t xml:space="preserve"> </w:t>
      </w:r>
      <w:r>
        <w:t>l'attuazione</w:t>
      </w:r>
      <w:r w:rsidR="005F076A">
        <w:t xml:space="preserve"> </w:t>
      </w:r>
      <w:r>
        <w:t>dell'attività libero-professionale intramuraria. Partecipa inoltre alla</w:t>
      </w:r>
      <w:r w:rsidR="005F076A">
        <w:t xml:space="preserve"> </w:t>
      </w:r>
      <w:r>
        <w:t>pianificazione delle attività di ricerca e didattica, all'individuazione di ind</w:t>
      </w:r>
      <w:r w:rsidR="005F076A">
        <w:t xml:space="preserve">icatori di risultato clinico e </w:t>
      </w:r>
      <w:r>
        <w:t xml:space="preserve">dei requisiti di appropriatezza e qualità, ed </w:t>
      </w:r>
      <w:r w:rsidR="005F076A">
        <w:t>è</w:t>
      </w:r>
      <w:r>
        <w:t xml:space="preserve"> consultato obbligatoriamente dal Direttore Generale su tutte le questioni attinenti al governo delle attività cliniche. </w:t>
      </w:r>
    </w:p>
    <w:p w:rsidR="008D3B17" w:rsidRDefault="008D3B17" w:rsidP="008D3B17">
      <w:pPr>
        <w:jc w:val="both"/>
      </w:pPr>
      <w:r>
        <w:t xml:space="preserve">Il </w:t>
      </w:r>
      <w:r w:rsidRPr="00B25823">
        <w:rPr>
          <w:b/>
          <w:color w:val="000066"/>
        </w:rPr>
        <w:t>Direttore Amministrativo</w:t>
      </w:r>
      <w:r w:rsidRPr="00B25823">
        <w:rPr>
          <w:color w:val="000066"/>
        </w:rPr>
        <w:t xml:space="preserve"> </w:t>
      </w:r>
      <w:r>
        <w:t>concorre alla direzione dell’Azienda, partecipando ai processi di pianificazione strategica e pianificazione</w:t>
      </w:r>
      <w:r w:rsidR="00B25823">
        <w:t xml:space="preserve"> </w:t>
      </w:r>
      <w:r>
        <w:t>annuale;</w:t>
      </w:r>
      <w:r w:rsidR="00B25823">
        <w:t xml:space="preserve"> </w:t>
      </w:r>
      <w:r>
        <w:t>coadiuva il</w:t>
      </w:r>
      <w:r w:rsidR="00B25823">
        <w:t xml:space="preserve"> </w:t>
      </w:r>
      <w:r>
        <w:t xml:space="preserve">Direttore Generale nella definizione e direzione del sistema di governo economico-finanziario ed amministrativo. Definisce gli orientamenti operativi e risponde dei risultati delle strutture </w:t>
      </w:r>
      <w:r w:rsidR="00B25823">
        <w:t>assegnate al governo economico-</w:t>
      </w:r>
      <w:r>
        <w:t>finanziario aziendale, responsabili di tutti i processi di supporto alle linee operati</w:t>
      </w:r>
      <w:r w:rsidR="00B25823">
        <w:t xml:space="preserve">ve, sviluppandone le </w:t>
      </w:r>
      <w:r>
        <w:t xml:space="preserve">competenze </w:t>
      </w:r>
      <w:r>
        <w:tab/>
        <w:t>mediante la</w:t>
      </w:r>
      <w:r w:rsidR="00B25823">
        <w:t xml:space="preserve"> </w:t>
      </w:r>
      <w:r>
        <w:t>costante</w:t>
      </w:r>
      <w:r w:rsidR="00B25823">
        <w:t xml:space="preserve"> </w:t>
      </w:r>
      <w:r>
        <w:t>ricerca</w:t>
      </w:r>
      <w:r w:rsidR="00B25823">
        <w:t xml:space="preserve"> della </w:t>
      </w:r>
      <w:r>
        <w:t>qualità dei processi</w:t>
      </w:r>
      <w:r w:rsidR="00B25823">
        <w:t xml:space="preserve"> </w:t>
      </w:r>
      <w:r>
        <w:t>e</w:t>
      </w:r>
      <w:r w:rsidR="00B25823">
        <w:t xml:space="preserve"> </w:t>
      </w:r>
      <w:r>
        <w:t>della</w:t>
      </w:r>
      <w:r w:rsidR="00B25823">
        <w:t xml:space="preserve"> </w:t>
      </w:r>
      <w:r>
        <w:t>innovazione</w:t>
      </w:r>
      <w:r w:rsidR="00B25823">
        <w:t xml:space="preserve"> </w:t>
      </w:r>
      <w:r>
        <w:t>dei</w:t>
      </w:r>
      <w:r w:rsidR="00B25823">
        <w:t xml:space="preserve"> </w:t>
      </w:r>
      <w:r>
        <w:t xml:space="preserve">sistemi di gestione </w:t>
      </w:r>
      <w:r>
        <w:tab/>
        <w:t>allo scopo</w:t>
      </w:r>
      <w:r w:rsidR="00B25823">
        <w:t xml:space="preserve"> </w:t>
      </w:r>
      <w:r>
        <w:t>di perseguire</w:t>
      </w:r>
      <w:r w:rsidR="00B25823">
        <w:t xml:space="preserve"> </w:t>
      </w:r>
      <w:r>
        <w:t>i</w:t>
      </w:r>
      <w:r w:rsidR="00B25823">
        <w:t xml:space="preserve"> </w:t>
      </w:r>
      <w:r>
        <w:t>migliori</w:t>
      </w:r>
      <w:r w:rsidR="00B25823">
        <w:t xml:space="preserve"> </w:t>
      </w:r>
      <w:r>
        <w:t>risultati</w:t>
      </w:r>
      <w:r w:rsidR="00B25823">
        <w:t xml:space="preserve"> </w:t>
      </w:r>
      <w:r>
        <w:t>in</w:t>
      </w:r>
      <w:r w:rsidR="00B25823">
        <w:t xml:space="preserve"> </w:t>
      </w:r>
      <w:r>
        <w:t>termini</w:t>
      </w:r>
      <w:r w:rsidR="00B25823">
        <w:t xml:space="preserve"> </w:t>
      </w:r>
      <w:r>
        <w:t>di efficienza ed appropriatezza</w:t>
      </w:r>
      <w:r w:rsidR="00B25823">
        <w:t xml:space="preserve"> </w:t>
      </w:r>
      <w:r>
        <w:t xml:space="preserve">organizzative </w:t>
      </w:r>
      <w:r w:rsidR="00B25823">
        <w:t>n</w:t>
      </w:r>
      <w:r>
        <w:t>ell’uso</w:t>
      </w:r>
      <w:r w:rsidR="00B25823">
        <w:t xml:space="preserve"> </w:t>
      </w:r>
      <w:r>
        <w:t>delle</w:t>
      </w:r>
      <w:r w:rsidR="00B25823">
        <w:t xml:space="preserve"> </w:t>
      </w:r>
      <w:r>
        <w:t xml:space="preserve">risorse. Egli, </w:t>
      </w:r>
      <w:r w:rsidR="009262BF">
        <w:t xml:space="preserve">nell’ambito delle sue specifiche competenze, </w:t>
      </w:r>
      <w:r>
        <w:t xml:space="preserve">svolge le seguenti attribuzioni: </w:t>
      </w:r>
      <w:r w:rsidR="00B25823">
        <w:t xml:space="preserve"> </w:t>
      </w:r>
    </w:p>
    <w:tbl>
      <w:tblPr>
        <w:tblStyle w:val="Grigliatabella"/>
        <w:tblW w:w="0" w:type="auto"/>
        <w:shd w:val="clear" w:color="auto" w:fill="EFF9FF"/>
        <w:tblLook w:val="04A0" w:firstRow="1" w:lastRow="0" w:firstColumn="1" w:lastColumn="0" w:noHBand="0" w:noVBand="1"/>
      </w:tblPr>
      <w:tblGrid>
        <w:gridCol w:w="9628"/>
      </w:tblGrid>
      <w:tr w:rsidR="00F3512E" w:rsidTr="00F3512E">
        <w:tc>
          <w:tcPr>
            <w:tcW w:w="9778" w:type="dxa"/>
            <w:shd w:val="clear" w:color="auto" w:fill="EFF9FF"/>
          </w:tcPr>
          <w:p w:rsidR="00F95F8E" w:rsidRDefault="00F95F8E" w:rsidP="00F95F8E">
            <w:pPr>
              <w:pStyle w:val="Paragrafoelenco"/>
              <w:jc w:val="both"/>
              <w:rPr>
                <w:sz w:val="20"/>
                <w:szCs w:val="20"/>
              </w:rPr>
            </w:pPr>
            <w:r w:rsidRPr="00F95F8E">
              <w:rPr>
                <w:sz w:val="20"/>
                <w:szCs w:val="20"/>
              </w:rPr>
              <w:lastRenderedPageBreak/>
              <w:t xml:space="preserve">a) partecipa con il Direttore sanitario ed unitamente al Direttore Generale, che ne ha la responsabilità, alla direzione dell’Azienda concorrendo, con la formulazione di proposte e di pareri, alla formazione delle decisioni del Direttore Generale; </w:t>
            </w:r>
          </w:p>
          <w:p w:rsidR="00F95F8E" w:rsidRDefault="00F95F8E" w:rsidP="00F95F8E">
            <w:pPr>
              <w:pStyle w:val="Paragrafoelenco"/>
              <w:jc w:val="both"/>
              <w:rPr>
                <w:sz w:val="20"/>
                <w:szCs w:val="20"/>
              </w:rPr>
            </w:pPr>
            <w:r w:rsidRPr="00F95F8E">
              <w:rPr>
                <w:sz w:val="20"/>
                <w:szCs w:val="20"/>
              </w:rPr>
              <w:t xml:space="preserve">b) dirige i servizi amministrativi dell’Azienda in conformità agli indirizzi generali di programmazione ed alle disposizioni del Direttore Generale nonché nel rispetto delle competenze attribuite o delegate agli altri livelli dirigenziali; </w:t>
            </w:r>
          </w:p>
          <w:p w:rsidR="00F95F8E" w:rsidRDefault="00F95F8E" w:rsidP="00F95F8E">
            <w:pPr>
              <w:pStyle w:val="Paragrafoelenco"/>
              <w:jc w:val="both"/>
              <w:rPr>
                <w:sz w:val="20"/>
                <w:szCs w:val="20"/>
              </w:rPr>
            </w:pPr>
            <w:r w:rsidRPr="00F95F8E">
              <w:rPr>
                <w:sz w:val="20"/>
                <w:szCs w:val="20"/>
              </w:rPr>
              <w:t>c) coordina l’attività delle strutture rientranti nelle aree funzionali amministrativa, tecnica e professionale;</w:t>
            </w:r>
          </w:p>
          <w:p w:rsidR="00F95F8E" w:rsidRDefault="00F95F8E" w:rsidP="00F95F8E">
            <w:pPr>
              <w:pStyle w:val="Paragrafoelenco"/>
              <w:jc w:val="both"/>
              <w:rPr>
                <w:sz w:val="20"/>
                <w:szCs w:val="20"/>
              </w:rPr>
            </w:pPr>
            <w:r w:rsidRPr="00F95F8E">
              <w:rPr>
                <w:sz w:val="20"/>
                <w:szCs w:val="20"/>
              </w:rPr>
              <w:t xml:space="preserve">d) formula proposte al Direttore Generale, per le parti di competenza, ai fini della elaborazione dei piani pluriennali, dei programmi annuali e dei progetti di attività, nonché per la nomina dei responsabili delle strutture e delle posizioni organizzative nell’area amministrativa, tecnica e professionale; </w:t>
            </w:r>
          </w:p>
          <w:p w:rsidR="00F95F8E" w:rsidRDefault="00F95F8E" w:rsidP="00F95F8E">
            <w:pPr>
              <w:pStyle w:val="Paragrafoelenco"/>
              <w:jc w:val="both"/>
              <w:rPr>
                <w:sz w:val="20"/>
                <w:szCs w:val="20"/>
              </w:rPr>
            </w:pPr>
            <w:r w:rsidRPr="00F95F8E">
              <w:rPr>
                <w:sz w:val="20"/>
                <w:szCs w:val="20"/>
              </w:rPr>
              <w:t xml:space="preserve">e) definisce i criteri generali per il funzionamento delle aree amministrativa, tecnica e professionale; </w:t>
            </w:r>
          </w:p>
          <w:p w:rsidR="00F95F8E" w:rsidRDefault="00F95F8E" w:rsidP="00F95F8E">
            <w:pPr>
              <w:pStyle w:val="Paragrafoelenco"/>
              <w:jc w:val="both"/>
              <w:rPr>
                <w:sz w:val="20"/>
                <w:szCs w:val="20"/>
              </w:rPr>
            </w:pPr>
            <w:r w:rsidRPr="00F95F8E">
              <w:rPr>
                <w:sz w:val="20"/>
                <w:szCs w:val="20"/>
              </w:rPr>
              <w:t xml:space="preserve">f) verifica l’attività svolta dalle aree amministrativa, tecnica e professionale, predisponendo la relativa relazione per il Direttore Generale, nonché alla programmazione dell’attività di formazione ed aggiornamento per il personale operante nell’area amministrativa; </w:t>
            </w:r>
          </w:p>
          <w:p w:rsidR="00F95F8E" w:rsidRDefault="00F95F8E" w:rsidP="00F95F8E">
            <w:pPr>
              <w:pStyle w:val="Paragrafoelenco"/>
              <w:jc w:val="both"/>
              <w:rPr>
                <w:sz w:val="20"/>
                <w:szCs w:val="20"/>
              </w:rPr>
            </w:pPr>
            <w:r w:rsidRPr="00F95F8E">
              <w:rPr>
                <w:sz w:val="20"/>
                <w:szCs w:val="20"/>
              </w:rPr>
              <w:t xml:space="preserve">g) collabora alla predisposizione della Relazione sanitaria annuale; </w:t>
            </w:r>
          </w:p>
          <w:p w:rsidR="00F95F8E" w:rsidRDefault="00F95F8E" w:rsidP="00F95F8E">
            <w:pPr>
              <w:pStyle w:val="Paragrafoelenco"/>
              <w:jc w:val="both"/>
              <w:rPr>
                <w:sz w:val="20"/>
                <w:szCs w:val="20"/>
              </w:rPr>
            </w:pPr>
            <w:r w:rsidRPr="00F95F8E">
              <w:rPr>
                <w:sz w:val="20"/>
                <w:szCs w:val="20"/>
              </w:rPr>
              <w:t xml:space="preserve">h) esprime parere obbligatorio sugli atti relativi alle materie di competenza; </w:t>
            </w:r>
          </w:p>
          <w:p w:rsidR="00F95F8E" w:rsidRDefault="00F95F8E" w:rsidP="00F95F8E">
            <w:pPr>
              <w:pStyle w:val="Paragrafoelenco"/>
              <w:jc w:val="both"/>
              <w:rPr>
                <w:sz w:val="20"/>
                <w:szCs w:val="20"/>
              </w:rPr>
            </w:pPr>
            <w:r w:rsidRPr="00F95F8E">
              <w:rPr>
                <w:sz w:val="20"/>
                <w:szCs w:val="20"/>
              </w:rPr>
              <w:t>i) svolge ogni altra funzione, ivi compresa l’adozione di atti a rilevanza esterna, attribuitagli dalla legislazione vigente, dal presente atto, dai regolamenti aziendali ovvero delegatagli dal Direttore Generale</w:t>
            </w:r>
            <w:r>
              <w:rPr>
                <w:sz w:val="20"/>
                <w:szCs w:val="20"/>
              </w:rPr>
              <w:t>;</w:t>
            </w:r>
            <w:r w:rsidRPr="00F95F8E">
              <w:rPr>
                <w:sz w:val="20"/>
                <w:szCs w:val="20"/>
              </w:rPr>
              <w:t xml:space="preserve"> </w:t>
            </w:r>
          </w:p>
          <w:p w:rsidR="00F3512E" w:rsidRPr="00F95F8E" w:rsidRDefault="00F3512E" w:rsidP="00F95F8E">
            <w:pPr>
              <w:pStyle w:val="Paragrafoelenco"/>
              <w:jc w:val="both"/>
              <w:rPr>
                <w:sz w:val="20"/>
                <w:szCs w:val="20"/>
              </w:rPr>
            </w:pPr>
          </w:p>
        </w:tc>
      </w:tr>
    </w:tbl>
    <w:p w:rsidR="00F95F8E" w:rsidRDefault="00F95F8E" w:rsidP="008D3B17">
      <w:pPr>
        <w:jc w:val="both"/>
      </w:pPr>
    </w:p>
    <w:p w:rsidR="00F3512E" w:rsidRDefault="00F95F8E" w:rsidP="008D3B17">
      <w:pPr>
        <w:jc w:val="both"/>
      </w:pPr>
      <w:r>
        <w:t xml:space="preserve">Il Direttore Amministrativo, </w:t>
      </w:r>
      <w:r w:rsidRPr="00F95F8E">
        <w:t>di sua iniziativa o su indicazione del Direttore Generale può, in qualsiasi momento, avocare a sè la trattazione diretta di materie o specifiche problematiche che rivestano particolare rilevanza nel contesto delle competenze dell’area amministrativa, professionale e tecnica, adottando correlativamente tutti gli atti all’uopo necessari.</w:t>
      </w:r>
    </w:p>
    <w:p w:rsidR="001D5B4A" w:rsidRDefault="001D5B4A" w:rsidP="001D5B4A">
      <w:pPr>
        <w:jc w:val="both"/>
      </w:pPr>
      <w:r>
        <w:t xml:space="preserve">Il </w:t>
      </w:r>
      <w:r w:rsidRPr="001D5B4A">
        <w:rPr>
          <w:b/>
          <w:color w:val="000066"/>
        </w:rPr>
        <w:t>Direttore Sanitario</w:t>
      </w:r>
      <w:r>
        <w:t xml:space="preserve"> concorre alla direzione dell’Azienda, partecipando ai processi di pianificazione strategica e pianificazione annuale. E’ responsabile del governo clinico complessivo aziendale, inteso come l’insieme delle attività il cui obiettivo è quello di assicurare la qualità delle prestazioni erogate, nonché il loro miglioramento. Nell’ambito di tali percorsi il Direttore Sanitario è responsabile sia della qualità e dell’efficienza tecnica ed operativa della produzione di prestazioni -  che può essere esercitata anche con delega ai Direttori di presidio -, sia della distribuzione di servizi, attraverso l’integrazione dei singoli prodotti in servizi o in programmi di assistenza orientati al singolo ed alla collettività. Egli, nell’ambito delle sue specifiche competenze, ha le seguenti attribuzioni: </w:t>
      </w:r>
    </w:p>
    <w:tbl>
      <w:tblPr>
        <w:tblStyle w:val="Grigliatabella"/>
        <w:tblW w:w="0" w:type="auto"/>
        <w:shd w:val="clear" w:color="auto" w:fill="EFF9FF"/>
        <w:tblLook w:val="04A0" w:firstRow="1" w:lastRow="0" w:firstColumn="1" w:lastColumn="0" w:noHBand="0" w:noVBand="1"/>
      </w:tblPr>
      <w:tblGrid>
        <w:gridCol w:w="9628"/>
      </w:tblGrid>
      <w:tr w:rsidR="00F3512E" w:rsidRPr="00F3512E" w:rsidTr="00F3512E">
        <w:tc>
          <w:tcPr>
            <w:tcW w:w="9778" w:type="dxa"/>
            <w:shd w:val="clear" w:color="auto" w:fill="EFF9FF"/>
          </w:tcPr>
          <w:p w:rsidR="00F95F8E" w:rsidRDefault="00F95F8E" w:rsidP="00F95F8E">
            <w:pPr>
              <w:ind w:left="284"/>
              <w:jc w:val="both"/>
              <w:rPr>
                <w:sz w:val="20"/>
                <w:szCs w:val="20"/>
              </w:rPr>
            </w:pPr>
            <w:r w:rsidRPr="00F95F8E">
              <w:rPr>
                <w:sz w:val="20"/>
                <w:szCs w:val="20"/>
              </w:rPr>
              <w:t>a) coadiuva</w:t>
            </w:r>
            <w:r>
              <w:rPr>
                <w:sz w:val="20"/>
                <w:szCs w:val="20"/>
              </w:rPr>
              <w:t>,</w:t>
            </w:r>
            <w:r w:rsidRPr="00F95F8E">
              <w:rPr>
                <w:sz w:val="20"/>
                <w:szCs w:val="20"/>
              </w:rPr>
              <w:t xml:space="preserve"> unitamente al Direttore Amministrativo</w:t>
            </w:r>
            <w:r>
              <w:rPr>
                <w:sz w:val="20"/>
                <w:szCs w:val="20"/>
              </w:rPr>
              <w:t>,</w:t>
            </w:r>
            <w:r w:rsidRPr="00F95F8E">
              <w:rPr>
                <w:sz w:val="20"/>
                <w:szCs w:val="20"/>
              </w:rPr>
              <w:t xml:space="preserve"> il Direttore Generale nel governo dell’Azienda fornendogli pareri obbligatori sugli atti relativi alle materie di competenza; </w:t>
            </w:r>
          </w:p>
          <w:p w:rsidR="00F95F8E" w:rsidRDefault="00F95F8E" w:rsidP="00F95F8E">
            <w:pPr>
              <w:ind w:left="284"/>
              <w:jc w:val="both"/>
              <w:rPr>
                <w:sz w:val="20"/>
                <w:szCs w:val="20"/>
              </w:rPr>
            </w:pPr>
            <w:r w:rsidRPr="00F95F8E">
              <w:rPr>
                <w:sz w:val="20"/>
                <w:szCs w:val="20"/>
              </w:rPr>
              <w:t xml:space="preserve">b) dirige i servizi sanitari, ai fini tecnico-sanitari ed igienico-organizzativi, fatte salve le competenze, le responsabilità e le funzioni individuali dei singoli dirigenti previste dall’articolo 17 del D. Lgs 165/2001. A tal fine svolge, in posizione sovraordinata, attività di indirizzo, coordinamento, supporto e verifica nei confronti dei relativi responsabili, promuovendo l’integrazione dei servizi stessi; </w:t>
            </w:r>
          </w:p>
          <w:p w:rsidR="00F95F8E" w:rsidRDefault="00F95F8E" w:rsidP="00F95F8E">
            <w:pPr>
              <w:ind w:left="284"/>
              <w:jc w:val="both"/>
              <w:rPr>
                <w:sz w:val="20"/>
                <w:szCs w:val="20"/>
              </w:rPr>
            </w:pPr>
            <w:r w:rsidRPr="00F95F8E">
              <w:rPr>
                <w:sz w:val="20"/>
                <w:szCs w:val="20"/>
              </w:rPr>
              <w:t xml:space="preserve">c) identifica la domanda di assistenza sanitaria ed i bisogni di salute dell’utenza; </w:t>
            </w:r>
          </w:p>
          <w:p w:rsidR="00F95F8E" w:rsidRDefault="00F95F8E" w:rsidP="00F95F8E">
            <w:pPr>
              <w:ind w:left="284"/>
              <w:jc w:val="both"/>
              <w:rPr>
                <w:sz w:val="20"/>
                <w:szCs w:val="20"/>
              </w:rPr>
            </w:pPr>
            <w:r w:rsidRPr="00F95F8E">
              <w:rPr>
                <w:sz w:val="20"/>
                <w:szCs w:val="20"/>
              </w:rPr>
              <w:t xml:space="preserve">d) coordina l’attività dei Dipartimenti sanitari; </w:t>
            </w:r>
          </w:p>
          <w:p w:rsidR="00F95F8E" w:rsidRDefault="00F95F8E" w:rsidP="00F95F8E">
            <w:pPr>
              <w:ind w:left="284"/>
              <w:jc w:val="both"/>
              <w:rPr>
                <w:sz w:val="20"/>
                <w:szCs w:val="20"/>
              </w:rPr>
            </w:pPr>
            <w:r w:rsidRPr="00F95F8E">
              <w:rPr>
                <w:sz w:val="20"/>
                <w:szCs w:val="20"/>
              </w:rPr>
              <w:t xml:space="preserve">e) formula proposte al Direttore Generale, per le parti di competenza, ai fini della elaborazione dei piani pluriennali, dei programmi annuali e dei progetti di attività, nonché per la nomina dei Direttori dei Dipartimenti e dei responsabili delle strutture organizzative professionali e funzionali di rilevanza sanitaria; </w:t>
            </w:r>
          </w:p>
          <w:p w:rsidR="00F95F8E" w:rsidRDefault="00F95F8E" w:rsidP="00F95F8E">
            <w:pPr>
              <w:ind w:left="284"/>
              <w:jc w:val="both"/>
              <w:rPr>
                <w:sz w:val="20"/>
                <w:szCs w:val="20"/>
              </w:rPr>
            </w:pPr>
            <w:r w:rsidRPr="00F95F8E">
              <w:rPr>
                <w:sz w:val="20"/>
                <w:szCs w:val="20"/>
              </w:rPr>
              <w:t xml:space="preserve">f) predispone con la collaborazione del Direttore Amministrativo la relazione sanitaria Aziendale annuale; </w:t>
            </w:r>
          </w:p>
          <w:p w:rsidR="00F95F8E" w:rsidRDefault="00F95F8E" w:rsidP="00F95F8E">
            <w:pPr>
              <w:ind w:left="284"/>
              <w:jc w:val="both"/>
              <w:rPr>
                <w:sz w:val="20"/>
                <w:szCs w:val="20"/>
              </w:rPr>
            </w:pPr>
            <w:r w:rsidRPr="00F95F8E">
              <w:rPr>
                <w:sz w:val="20"/>
                <w:szCs w:val="20"/>
              </w:rPr>
              <w:t xml:space="preserve">g) stabilisce le strategie e gli indirizzi per l’adozione di provvedimenti straordinari con carattere d’urgenza; </w:t>
            </w:r>
          </w:p>
          <w:p w:rsidR="00F95F8E" w:rsidRDefault="00F95F8E" w:rsidP="00F95F8E">
            <w:pPr>
              <w:ind w:left="284"/>
              <w:jc w:val="both"/>
              <w:rPr>
                <w:sz w:val="20"/>
                <w:szCs w:val="20"/>
              </w:rPr>
            </w:pPr>
            <w:r w:rsidRPr="00F95F8E">
              <w:rPr>
                <w:sz w:val="20"/>
                <w:szCs w:val="20"/>
              </w:rPr>
              <w:t>h) verifica la qualità dei servizi sanitari, delle prestazioni erogate e del sistema</w:t>
            </w:r>
            <w:r>
              <w:rPr>
                <w:sz w:val="20"/>
                <w:szCs w:val="20"/>
              </w:rPr>
              <w:t xml:space="preserve"> </w:t>
            </w:r>
            <w:r w:rsidRPr="00F95F8E">
              <w:rPr>
                <w:sz w:val="20"/>
                <w:szCs w:val="20"/>
              </w:rPr>
              <w:t xml:space="preserve">informativo sanitario, pianifica l’allocazione delle risorse umane - avvalendosi a tal fine del servizio infermieristico - nonché l’allocazione delle risorse tecnologiche e strumentali all’interno dei servizi sanitari e nel rispetto della programmazione sanitaria Aziendale; </w:t>
            </w:r>
          </w:p>
          <w:p w:rsidR="00F95F8E" w:rsidRDefault="00F95F8E" w:rsidP="00F95F8E">
            <w:pPr>
              <w:ind w:left="284"/>
              <w:jc w:val="both"/>
              <w:rPr>
                <w:sz w:val="20"/>
                <w:szCs w:val="20"/>
              </w:rPr>
            </w:pPr>
            <w:r w:rsidRPr="00F95F8E">
              <w:rPr>
                <w:sz w:val="20"/>
                <w:szCs w:val="20"/>
              </w:rPr>
              <w:t xml:space="preserve">i) definisce criteri organizzativi generali conseguenti agli obiettivi Aziendali fissati dal Direttore Generale; </w:t>
            </w:r>
          </w:p>
          <w:p w:rsidR="00F95F8E" w:rsidRDefault="00F95F8E" w:rsidP="00F95F8E">
            <w:pPr>
              <w:ind w:left="284"/>
              <w:jc w:val="both"/>
              <w:rPr>
                <w:sz w:val="20"/>
                <w:szCs w:val="20"/>
              </w:rPr>
            </w:pPr>
            <w:r w:rsidRPr="00F95F8E">
              <w:rPr>
                <w:sz w:val="20"/>
                <w:szCs w:val="20"/>
              </w:rPr>
              <w:lastRenderedPageBreak/>
              <w:t xml:space="preserve">j) esprime parere obbligatorio sulle progettazioni edilizie dell’Azienda in merito agli aspetti igienico-sanitari e funzionali; </w:t>
            </w:r>
          </w:p>
          <w:p w:rsidR="00F95F8E" w:rsidRDefault="00F95F8E" w:rsidP="00F95F8E">
            <w:pPr>
              <w:ind w:left="284"/>
              <w:jc w:val="both"/>
              <w:rPr>
                <w:sz w:val="20"/>
                <w:szCs w:val="20"/>
              </w:rPr>
            </w:pPr>
            <w:r w:rsidRPr="00F95F8E">
              <w:rPr>
                <w:sz w:val="20"/>
                <w:szCs w:val="20"/>
              </w:rPr>
              <w:t xml:space="preserve">k) coadiuva il Direttore Generale nelle iniziative previste per la partecipazione e tutela dei diritti dei cittadini, in particolare adottando le misure necessarie per rimuovere i disservizi; </w:t>
            </w:r>
          </w:p>
          <w:p w:rsidR="00F95F8E" w:rsidRDefault="00F95F8E" w:rsidP="00F95F8E">
            <w:pPr>
              <w:ind w:left="284"/>
              <w:jc w:val="both"/>
              <w:rPr>
                <w:sz w:val="20"/>
                <w:szCs w:val="20"/>
              </w:rPr>
            </w:pPr>
            <w:r w:rsidRPr="00F95F8E">
              <w:rPr>
                <w:sz w:val="20"/>
                <w:szCs w:val="20"/>
              </w:rPr>
              <w:t xml:space="preserve">l) promuove l’attività di formazione, aggiornamento e riqualificazione del personale dei servizi sanitari al fine del perseguimento degli obiettivi Aziendali; </w:t>
            </w:r>
          </w:p>
          <w:p w:rsidR="00F95F8E" w:rsidRDefault="00F95F8E" w:rsidP="00F95F8E">
            <w:pPr>
              <w:ind w:left="284"/>
              <w:jc w:val="both"/>
              <w:rPr>
                <w:sz w:val="20"/>
                <w:szCs w:val="20"/>
              </w:rPr>
            </w:pPr>
            <w:r w:rsidRPr="00F95F8E">
              <w:rPr>
                <w:sz w:val="20"/>
                <w:szCs w:val="20"/>
              </w:rPr>
              <w:t xml:space="preserve">m) svolge ogni altra funzione, ivi compresa l’adozione di atti a rilevanza esterna, attribuitagli dalla legislazione vigente, dal presente atto, dai regolamenti aziendali ovvero delegatagli dal Direttore Generale; </w:t>
            </w:r>
          </w:p>
          <w:p w:rsidR="00F95F8E" w:rsidRDefault="00F95F8E" w:rsidP="00F95F8E">
            <w:pPr>
              <w:ind w:left="284"/>
              <w:jc w:val="both"/>
              <w:rPr>
                <w:sz w:val="20"/>
                <w:szCs w:val="20"/>
              </w:rPr>
            </w:pPr>
            <w:r w:rsidRPr="00F95F8E">
              <w:rPr>
                <w:sz w:val="20"/>
                <w:szCs w:val="20"/>
              </w:rPr>
              <w:t xml:space="preserve">n) fornisce parere obbligatorio al Direttore Generale sugli atti relativi alle materie di competenza; </w:t>
            </w:r>
          </w:p>
          <w:p w:rsidR="00F3512E" w:rsidRPr="00F3512E" w:rsidRDefault="00F95F8E" w:rsidP="00F95F8E">
            <w:pPr>
              <w:ind w:left="284"/>
              <w:jc w:val="both"/>
              <w:rPr>
                <w:sz w:val="20"/>
                <w:szCs w:val="20"/>
              </w:rPr>
            </w:pPr>
            <w:r w:rsidRPr="00F95F8E">
              <w:rPr>
                <w:sz w:val="20"/>
                <w:szCs w:val="20"/>
              </w:rPr>
              <w:t xml:space="preserve">o) presiede il Consiglio dei Sanitari ed il Comitato per il Buon uso del sangue.  </w:t>
            </w:r>
          </w:p>
        </w:tc>
      </w:tr>
    </w:tbl>
    <w:p w:rsidR="00F3512E" w:rsidRDefault="00F3512E" w:rsidP="001D5B4A">
      <w:pPr>
        <w:jc w:val="both"/>
      </w:pPr>
    </w:p>
    <w:p w:rsidR="006964CA" w:rsidRDefault="006964CA" w:rsidP="006964CA">
      <w:pPr>
        <w:jc w:val="both"/>
      </w:pPr>
      <w:r w:rsidRPr="006964CA">
        <w:t xml:space="preserve">Il Direttore Sanitario, di sua iniziativa o su indicazione del Direttore Generale può, in qualsiasi momento, avocare a sè la trattazione diretta di materie o specifiche problematiche che rivestano particolare rilevanza nel contesto delle competenze dell’area sanitaria, adottando correlativamente tutti gli atti all’uopo necessari. </w:t>
      </w:r>
    </w:p>
    <w:p w:rsidR="00AB2946" w:rsidRDefault="00AB2946" w:rsidP="00AB2946">
      <w:pPr>
        <w:jc w:val="both"/>
      </w:pPr>
      <w:r>
        <w:t xml:space="preserve">Lo </w:t>
      </w:r>
      <w:r w:rsidRPr="00AB2946">
        <w:rPr>
          <w:b/>
          <w:color w:val="000066"/>
        </w:rPr>
        <w:t>Staff della Direzione Aziendale</w:t>
      </w:r>
      <w:r>
        <w:t xml:space="preserve"> contribuisce in modo determinante al processo di aziendalizzazione del SSN. Gli elementi che caratterizzano le funzioni di uno Staff della Direzione Aziendale sono l’orientamento ai risultati, la tendenza alla innovazione organizzativa e la flessibilità nei compiti svolti, nei processi, negli strumenti gestionali utilizzati e nei carichi di lavoro. </w:t>
      </w:r>
    </w:p>
    <w:p w:rsidR="00AB2946" w:rsidRDefault="00AB2946" w:rsidP="00AB2946">
      <w:pPr>
        <w:jc w:val="both"/>
      </w:pPr>
      <w:r>
        <w:t xml:space="preserve">Sono da ricondursi sotto l’area dello Staff della Direzione dell’ARNAS Civico le seguenti attività (così come previste espressamente dal Decreto Assessore Regionale della Salute dell’11 marzo 2010 - GURS 16 aprile 2010): </w:t>
      </w:r>
    </w:p>
    <w:p w:rsidR="00AB2946" w:rsidRDefault="00AB2946" w:rsidP="00AB2946">
      <w:pPr>
        <w:pStyle w:val="Paragrafoelenco"/>
        <w:numPr>
          <w:ilvl w:val="0"/>
          <w:numId w:val="6"/>
        </w:numPr>
        <w:jc w:val="both"/>
      </w:pPr>
      <w:r>
        <w:t xml:space="preserve">Formazione del personale; </w:t>
      </w:r>
    </w:p>
    <w:p w:rsidR="00AB2946" w:rsidRDefault="00AB2946" w:rsidP="00AB2946">
      <w:pPr>
        <w:pStyle w:val="Paragrafoelenco"/>
        <w:numPr>
          <w:ilvl w:val="0"/>
          <w:numId w:val="6"/>
        </w:numPr>
        <w:jc w:val="both"/>
      </w:pPr>
      <w:r>
        <w:t>Gestione della Qualità;</w:t>
      </w:r>
    </w:p>
    <w:p w:rsidR="00AB2946" w:rsidRDefault="00AB2946" w:rsidP="00AB2946">
      <w:pPr>
        <w:pStyle w:val="Paragrafoelenco"/>
        <w:numPr>
          <w:ilvl w:val="0"/>
          <w:numId w:val="6"/>
        </w:numPr>
        <w:jc w:val="both"/>
      </w:pPr>
      <w:r>
        <w:t>Sistema Informativo e Statistico;</w:t>
      </w:r>
    </w:p>
    <w:p w:rsidR="00AB2946" w:rsidRDefault="00AB2946" w:rsidP="00AB2946">
      <w:pPr>
        <w:pStyle w:val="Paragrafoelenco"/>
        <w:numPr>
          <w:ilvl w:val="0"/>
          <w:numId w:val="6"/>
        </w:numPr>
        <w:jc w:val="both"/>
      </w:pPr>
      <w:r>
        <w:t xml:space="preserve">Pianificazione e controllo strategico; </w:t>
      </w:r>
    </w:p>
    <w:p w:rsidR="00AB2946" w:rsidRDefault="00AB2946" w:rsidP="00AB2946">
      <w:pPr>
        <w:pStyle w:val="Paragrafoelenco"/>
        <w:numPr>
          <w:ilvl w:val="0"/>
          <w:numId w:val="6"/>
        </w:numPr>
        <w:jc w:val="both"/>
      </w:pPr>
      <w:r>
        <w:t xml:space="preserve">Programmazione e controllo di gestione; </w:t>
      </w:r>
    </w:p>
    <w:p w:rsidR="00AB2946" w:rsidRDefault="00AB2946" w:rsidP="00AB2946">
      <w:pPr>
        <w:pStyle w:val="Paragrafoelenco"/>
        <w:numPr>
          <w:ilvl w:val="0"/>
          <w:numId w:val="6"/>
        </w:numPr>
        <w:jc w:val="both"/>
      </w:pPr>
      <w:r>
        <w:t xml:space="preserve">Servizio Protezione e Prevenzione (SPP); </w:t>
      </w:r>
    </w:p>
    <w:p w:rsidR="00AB2946" w:rsidRDefault="00AB2946" w:rsidP="00AB2946">
      <w:pPr>
        <w:pStyle w:val="Paragrafoelenco"/>
        <w:numPr>
          <w:ilvl w:val="0"/>
          <w:numId w:val="6"/>
        </w:numPr>
        <w:jc w:val="both"/>
      </w:pPr>
      <w:r>
        <w:t xml:space="preserve">Sorveglianza Sanitaria;  </w:t>
      </w:r>
    </w:p>
    <w:p w:rsidR="00AB2946" w:rsidRDefault="00AB2946" w:rsidP="00AB2946">
      <w:pPr>
        <w:pStyle w:val="Paragrafoelenco"/>
        <w:numPr>
          <w:ilvl w:val="0"/>
          <w:numId w:val="6"/>
        </w:numPr>
        <w:jc w:val="both"/>
      </w:pPr>
      <w:r>
        <w:t>Gestione del rischio clinico;</w:t>
      </w:r>
    </w:p>
    <w:p w:rsidR="00AB2946" w:rsidRDefault="00AB2946" w:rsidP="00AB2946">
      <w:pPr>
        <w:pStyle w:val="Paragrafoelenco"/>
        <w:numPr>
          <w:ilvl w:val="0"/>
          <w:numId w:val="6"/>
        </w:numPr>
        <w:jc w:val="both"/>
      </w:pPr>
      <w:r>
        <w:t xml:space="preserve">Servizio Legale; </w:t>
      </w:r>
    </w:p>
    <w:p w:rsidR="00AB2946" w:rsidRDefault="00AB2946" w:rsidP="00AB2946">
      <w:pPr>
        <w:pStyle w:val="Paragrafoelenco"/>
        <w:numPr>
          <w:ilvl w:val="0"/>
          <w:numId w:val="6"/>
        </w:numPr>
        <w:jc w:val="both"/>
      </w:pPr>
      <w:r>
        <w:t>Organizzazione delle professioni sanitarie e del servizio sociale;</w:t>
      </w:r>
    </w:p>
    <w:p w:rsidR="00AB2946" w:rsidRDefault="00AB2946" w:rsidP="00AB2946">
      <w:pPr>
        <w:pStyle w:val="Paragrafoelenco"/>
        <w:numPr>
          <w:ilvl w:val="0"/>
          <w:numId w:val="6"/>
        </w:numPr>
        <w:jc w:val="both"/>
      </w:pPr>
      <w:r>
        <w:t xml:space="preserve">Ingegneria clinica; </w:t>
      </w:r>
    </w:p>
    <w:p w:rsidR="00AB2946" w:rsidRDefault="00AB2946" w:rsidP="00AB2946">
      <w:pPr>
        <w:pStyle w:val="Paragrafoelenco"/>
        <w:numPr>
          <w:ilvl w:val="0"/>
          <w:numId w:val="6"/>
        </w:numPr>
        <w:jc w:val="both"/>
      </w:pPr>
      <w:r>
        <w:t xml:space="preserve">Informazione e comunicazione (Ufficio Relazioni con il Pubblico e Ufficio stampa);  </w:t>
      </w:r>
    </w:p>
    <w:p w:rsidR="00AB2946" w:rsidRDefault="00AB2946" w:rsidP="00AB2946">
      <w:pPr>
        <w:pStyle w:val="Paragrafoelenco"/>
        <w:numPr>
          <w:ilvl w:val="0"/>
          <w:numId w:val="6"/>
        </w:numPr>
        <w:jc w:val="both"/>
      </w:pPr>
      <w:r>
        <w:t xml:space="preserve">Educazione alla salute; </w:t>
      </w:r>
    </w:p>
    <w:p w:rsidR="00AB2946" w:rsidRDefault="00AB2946" w:rsidP="00AB2946">
      <w:pPr>
        <w:pStyle w:val="Paragrafoelenco"/>
        <w:numPr>
          <w:ilvl w:val="0"/>
          <w:numId w:val="6"/>
        </w:numPr>
        <w:jc w:val="both"/>
      </w:pPr>
      <w:r>
        <w:t>Dietologia e nutrizionistica ospedaliera;</w:t>
      </w:r>
    </w:p>
    <w:p w:rsidR="00AB2946" w:rsidRDefault="00AB2946" w:rsidP="00AB2946">
      <w:pPr>
        <w:pStyle w:val="Paragrafoelenco"/>
        <w:numPr>
          <w:ilvl w:val="0"/>
          <w:numId w:val="6"/>
        </w:numPr>
        <w:jc w:val="both"/>
      </w:pPr>
      <w:r>
        <w:t xml:space="preserve">Coordinamento sale operatorie; </w:t>
      </w:r>
    </w:p>
    <w:p w:rsidR="00AB2946" w:rsidRDefault="00AB2946" w:rsidP="00AB2946">
      <w:pPr>
        <w:pStyle w:val="Paragrafoelenco"/>
        <w:numPr>
          <w:ilvl w:val="0"/>
          <w:numId w:val="6"/>
        </w:numPr>
        <w:jc w:val="both"/>
      </w:pPr>
      <w:r>
        <w:t xml:space="preserve">Coordinamento CUP e rete ambulatoriale aziendale;  </w:t>
      </w:r>
    </w:p>
    <w:p w:rsidR="00AB2946" w:rsidRDefault="00AB2946" w:rsidP="00AB2946">
      <w:pPr>
        <w:pStyle w:val="Paragrafoelenco"/>
        <w:numPr>
          <w:ilvl w:val="0"/>
          <w:numId w:val="6"/>
        </w:numPr>
        <w:jc w:val="both"/>
      </w:pPr>
      <w:r>
        <w:t xml:space="preserve">Assistenza religiosa. </w:t>
      </w:r>
    </w:p>
    <w:p w:rsidR="00AB2946" w:rsidRDefault="00AB2946" w:rsidP="00AB2946">
      <w:pPr>
        <w:jc w:val="both"/>
      </w:pPr>
      <w:r>
        <w:t xml:space="preserve">Il </w:t>
      </w:r>
      <w:r w:rsidRPr="00AB2946">
        <w:rPr>
          <w:b/>
          <w:color w:val="000066"/>
        </w:rPr>
        <w:t>Dipartimento</w:t>
      </w:r>
      <w:r>
        <w:t xml:space="preserve"> è un’organizzazione integrata di unità operative omogenee, affini o complementari, ciascuna con obiettivi specifici, ma che concorrono al perseguimento di comuni obiettivi. Esso, con il supporto di un sistema informativo adeguato alla valutazione della produttività e degli esiti in salute, rappresenta il modello organizzativo favorente l’introduzione e l’attuazione delle politiche di governo clinico quale approccio moderno e trasparente di gestione dei servizi professionali </w:t>
      </w:r>
      <w:r w:rsidR="00E13A99">
        <w:t>che rappresentano</w:t>
      </w:r>
      <w:r>
        <w:t xml:space="preserve"> la principale risorsa </w:t>
      </w:r>
      <w:r>
        <w:lastRenderedPageBreak/>
        <w:t xml:space="preserve">dell’organizzazione. L’organizzazione dipartimentale appare </w:t>
      </w:r>
      <w:r w:rsidR="00E13A99">
        <w:t>la modalità</w:t>
      </w:r>
      <w:r>
        <w:t xml:space="preserve"> organizzativa che meglio possa consentire di raggiungere i seguenti obiettivi: </w:t>
      </w:r>
    </w:p>
    <w:p w:rsidR="00E13A99" w:rsidRDefault="00AB2946" w:rsidP="00E13A99">
      <w:pPr>
        <w:pStyle w:val="Paragrafoelenco"/>
        <w:numPr>
          <w:ilvl w:val="0"/>
          <w:numId w:val="6"/>
        </w:numPr>
        <w:jc w:val="both"/>
      </w:pPr>
      <w:r>
        <w:t xml:space="preserve">il miglioramento del coordinamento delle attività di assistenza, ricerca e formazione; </w:t>
      </w:r>
    </w:p>
    <w:p w:rsidR="00AB2946" w:rsidRDefault="00AB2946" w:rsidP="00E13A99">
      <w:pPr>
        <w:pStyle w:val="Paragrafoelenco"/>
        <w:numPr>
          <w:ilvl w:val="0"/>
          <w:numId w:val="6"/>
        </w:numPr>
        <w:jc w:val="both"/>
      </w:pPr>
      <w:r>
        <w:t xml:space="preserve">la diffusione delle conoscenze e lo sviluppo delle competenze; </w:t>
      </w:r>
    </w:p>
    <w:p w:rsidR="00AB2946" w:rsidRDefault="00AB2946" w:rsidP="00E13A99">
      <w:pPr>
        <w:pStyle w:val="Paragrafoelenco"/>
        <w:numPr>
          <w:ilvl w:val="0"/>
          <w:numId w:val="6"/>
        </w:numPr>
        <w:jc w:val="both"/>
      </w:pPr>
      <w:r>
        <w:t xml:space="preserve">la promozione della qualità dell’assistenza; </w:t>
      </w:r>
    </w:p>
    <w:p w:rsidR="00AB2946" w:rsidRDefault="00AB2946" w:rsidP="00E13A99">
      <w:pPr>
        <w:pStyle w:val="Paragrafoelenco"/>
        <w:numPr>
          <w:ilvl w:val="0"/>
          <w:numId w:val="6"/>
        </w:numPr>
        <w:jc w:val="both"/>
      </w:pPr>
      <w:r>
        <w:t xml:space="preserve">la realizzazione di economie di scala e di gestione. </w:t>
      </w:r>
    </w:p>
    <w:p w:rsidR="00AB2946" w:rsidRDefault="00E13A99" w:rsidP="00AB2946">
      <w:pPr>
        <w:jc w:val="both"/>
      </w:pPr>
      <w:r>
        <w:t xml:space="preserve"> </w:t>
      </w:r>
      <w:r w:rsidR="00AB2946">
        <w:t>Si riporta nella pagina seguente</w:t>
      </w:r>
      <w:r>
        <w:t xml:space="preserve"> </w:t>
      </w:r>
      <w:r w:rsidR="00AB2946">
        <w:t>l’organigramma</w:t>
      </w:r>
      <w:r>
        <w:t xml:space="preserve"> </w:t>
      </w:r>
      <w:r w:rsidR="00AB2946">
        <w:t>dell’Azienda</w:t>
      </w:r>
      <w:r>
        <w:t xml:space="preserve"> </w:t>
      </w:r>
      <w:r w:rsidR="00AB2946">
        <w:t>(con</w:t>
      </w:r>
      <w:r>
        <w:t xml:space="preserve"> </w:t>
      </w:r>
      <w:r w:rsidR="00AB2946">
        <w:t>evoluzioni</w:t>
      </w:r>
      <w:r>
        <w:t xml:space="preserve"> </w:t>
      </w:r>
      <w:r w:rsidR="00AB2946">
        <w:t xml:space="preserve">rispetto all’Atto aziendale, come da Delibera n°120 del 06/02/2014). </w:t>
      </w:r>
    </w:p>
    <w:p w:rsidR="005D364C" w:rsidRDefault="005D364C" w:rsidP="005D364C">
      <w:pPr>
        <w:jc w:val="both"/>
      </w:pPr>
    </w:p>
    <w:p w:rsidR="005D364C" w:rsidRDefault="005D364C" w:rsidP="005D364C">
      <w:pPr>
        <w:jc w:val="both"/>
      </w:pPr>
    </w:p>
    <w:p w:rsidR="00FC0446" w:rsidRDefault="00FC0446" w:rsidP="00AB5750">
      <w:pPr>
        <w:jc w:val="both"/>
      </w:pPr>
    </w:p>
    <w:p w:rsidR="00AB5750" w:rsidRDefault="00AB5750" w:rsidP="00AB5750">
      <w:pPr>
        <w:jc w:val="both"/>
      </w:pPr>
    </w:p>
    <w:p w:rsidR="0066387E" w:rsidRDefault="0066387E" w:rsidP="00953FCB">
      <w:pPr>
        <w:ind w:firstLine="708"/>
        <w:jc w:val="both"/>
      </w:pPr>
    </w:p>
    <w:p w:rsidR="0066387E" w:rsidRDefault="0066387E" w:rsidP="00953FCB">
      <w:pPr>
        <w:ind w:firstLine="708"/>
        <w:jc w:val="both"/>
      </w:pPr>
    </w:p>
    <w:p w:rsidR="0066387E" w:rsidRDefault="0066387E" w:rsidP="00953FCB">
      <w:pPr>
        <w:ind w:firstLine="708"/>
        <w:jc w:val="both"/>
      </w:pPr>
    </w:p>
    <w:p w:rsidR="0066387E" w:rsidRDefault="0066387E" w:rsidP="00953FCB">
      <w:pPr>
        <w:ind w:firstLine="708"/>
        <w:jc w:val="both"/>
      </w:pPr>
    </w:p>
    <w:p w:rsidR="0066387E" w:rsidRDefault="0066387E" w:rsidP="00953FCB">
      <w:pPr>
        <w:ind w:firstLine="708"/>
        <w:jc w:val="both"/>
      </w:pPr>
    </w:p>
    <w:p w:rsidR="0066387E" w:rsidRDefault="0066387E" w:rsidP="00953FCB">
      <w:pPr>
        <w:ind w:firstLine="708"/>
        <w:jc w:val="both"/>
      </w:pPr>
    </w:p>
    <w:p w:rsidR="00603586" w:rsidRDefault="00603586" w:rsidP="00953FCB">
      <w:pPr>
        <w:ind w:firstLine="708"/>
        <w:jc w:val="both"/>
      </w:pPr>
    </w:p>
    <w:p w:rsidR="00603586" w:rsidRDefault="00603586" w:rsidP="00953FCB">
      <w:pPr>
        <w:ind w:firstLine="708"/>
        <w:jc w:val="both"/>
      </w:pPr>
    </w:p>
    <w:p w:rsidR="00603586" w:rsidRDefault="00603586" w:rsidP="00953FCB">
      <w:pPr>
        <w:ind w:firstLine="708"/>
        <w:jc w:val="both"/>
      </w:pPr>
    </w:p>
    <w:p w:rsidR="00603586" w:rsidRDefault="00603586" w:rsidP="00953FCB">
      <w:pPr>
        <w:ind w:firstLine="708"/>
        <w:jc w:val="both"/>
      </w:pPr>
    </w:p>
    <w:p w:rsidR="00603586" w:rsidRDefault="00603586" w:rsidP="00953FCB">
      <w:pPr>
        <w:ind w:firstLine="708"/>
        <w:jc w:val="both"/>
      </w:pPr>
    </w:p>
    <w:p w:rsidR="00603586" w:rsidRDefault="00603586" w:rsidP="00953FCB">
      <w:pPr>
        <w:ind w:firstLine="708"/>
        <w:jc w:val="both"/>
      </w:pPr>
    </w:p>
    <w:p w:rsidR="00603586" w:rsidRDefault="00603586" w:rsidP="00953FCB">
      <w:pPr>
        <w:ind w:firstLine="708"/>
        <w:jc w:val="both"/>
      </w:pPr>
    </w:p>
    <w:p w:rsidR="00603586" w:rsidRDefault="00603586" w:rsidP="00953FCB">
      <w:pPr>
        <w:ind w:firstLine="708"/>
        <w:jc w:val="both"/>
      </w:pPr>
    </w:p>
    <w:p w:rsidR="00603586" w:rsidRDefault="00603586" w:rsidP="00953FCB">
      <w:pPr>
        <w:ind w:firstLine="708"/>
        <w:jc w:val="both"/>
      </w:pPr>
    </w:p>
    <w:p w:rsidR="00603586" w:rsidRDefault="00603586" w:rsidP="00953FCB">
      <w:pPr>
        <w:ind w:firstLine="708"/>
        <w:jc w:val="both"/>
      </w:pPr>
    </w:p>
    <w:p w:rsidR="005E144C" w:rsidRDefault="005E144C" w:rsidP="00953FCB">
      <w:pPr>
        <w:ind w:firstLine="708"/>
        <w:jc w:val="both"/>
      </w:pPr>
    </w:p>
    <w:p w:rsidR="005E144C" w:rsidRDefault="005E144C" w:rsidP="00953FCB">
      <w:pPr>
        <w:ind w:firstLine="708"/>
        <w:jc w:val="both"/>
      </w:pPr>
    </w:p>
    <w:p w:rsidR="005E144C" w:rsidRDefault="006570F6" w:rsidP="00953FCB">
      <w:pPr>
        <w:ind w:firstLine="708"/>
        <w:jc w:val="both"/>
      </w:pPr>
      <w:r>
        <w:rPr>
          <w:noProof/>
          <w:lang w:eastAsia="it-IT"/>
        </w:rPr>
        <w:lastRenderedPageBreak/>
        <w:drawing>
          <wp:anchor distT="0" distB="0" distL="114300" distR="114300" simplePos="0" relativeHeight="251662336" behindDoc="0" locked="0" layoutInCell="1" allowOverlap="1" wp14:anchorId="57D07F66" wp14:editId="74B44837">
            <wp:simplePos x="0" y="0"/>
            <wp:positionH relativeFrom="margin">
              <wp:align>right</wp:align>
            </wp:positionH>
            <wp:positionV relativeFrom="page">
              <wp:posOffset>947061</wp:posOffset>
            </wp:positionV>
            <wp:extent cx="5914390" cy="8395335"/>
            <wp:effectExtent l="0" t="0" r="0" b="5715"/>
            <wp:wrapNone/>
            <wp:docPr id="3" name="Immagine 3" descr="1EDA7D588AED4EC692E1924E8462F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DA7D588AED4EC692E1924E8462FCA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4390" cy="8395335"/>
                    </a:xfrm>
                    <a:prstGeom prst="rect">
                      <a:avLst/>
                    </a:prstGeom>
                    <a:noFill/>
                  </pic:spPr>
                </pic:pic>
              </a:graphicData>
            </a:graphic>
            <wp14:sizeRelH relativeFrom="page">
              <wp14:pctWidth>0</wp14:pctWidth>
            </wp14:sizeRelH>
            <wp14:sizeRelV relativeFrom="page">
              <wp14:pctHeight>0</wp14:pctHeight>
            </wp14:sizeRelV>
          </wp:anchor>
        </w:drawing>
      </w: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6570F6" w:rsidRDefault="006570F6" w:rsidP="00953FCB">
      <w:pPr>
        <w:ind w:firstLine="708"/>
        <w:jc w:val="both"/>
      </w:pPr>
    </w:p>
    <w:p w:rsidR="005E144C" w:rsidRDefault="005E144C" w:rsidP="00953FCB">
      <w:pPr>
        <w:ind w:firstLine="708"/>
        <w:jc w:val="both"/>
      </w:pPr>
    </w:p>
    <w:p w:rsidR="005E144C" w:rsidRDefault="005E144C" w:rsidP="00953FCB">
      <w:pPr>
        <w:ind w:firstLine="708"/>
        <w:jc w:val="both"/>
      </w:pPr>
    </w:p>
    <w:p w:rsidR="006570F6" w:rsidRDefault="006570F6" w:rsidP="00603586">
      <w:pPr>
        <w:jc w:val="both"/>
        <w:rPr>
          <w:b/>
        </w:rPr>
      </w:pPr>
    </w:p>
    <w:p w:rsidR="006570F6" w:rsidRDefault="006570F6" w:rsidP="00603586">
      <w:pPr>
        <w:jc w:val="both"/>
        <w:rPr>
          <w:b/>
        </w:rPr>
      </w:pPr>
    </w:p>
    <w:p w:rsidR="006570F6" w:rsidRDefault="006570F6" w:rsidP="00603586">
      <w:pPr>
        <w:jc w:val="both"/>
        <w:rPr>
          <w:b/>
        </w:rPr>
      </w:pPr>
    </w:p>
    <w:p w:rsidR="00603586" w:rsidRPr="00603586" w:rsidRDefault="00603586" w:rsidP="00603586">
      <w:pPr>
        <w:jc w:val="both"/>
        <w:rPr>
          <w:b/>
        </w:rPr>
      </w:pPr>
      <w:r w:rsidRPr="00603586">
        <w:rPr>
          <w:b/>
        </w:rPr>
        <w:lastRenderedPageBreak/>
        <w:t xml:space="preserve">4. Analisi del contesto </w:t>
      </w:r>
    </w:p>
    <w:p w:rsidR="00603586" w:rsidRPr="00DD0E8F" w:rsidRDefault="00603586" w:rsidP="00603586">
      <w:pPr>
        <w:jc w:val="both"/>
        <w:rPr>
          <w:b/>
          <w:i/>
          <w:color w:val="0070C0"/>
        </w:rPr>
      </w:pPr>
      <w:r w:rsidRPr="00DD0E8F">
        <w:rPr>
          <w:b/>
          <w:i/>
          <w:color w:val="0070C0"/>
        </w:rPr>
        <w:t xml:space="preserve">4.1 Analisi del contesto esterno </w:t>
      </w:r>
    </w:p>
    <w:p w:rsidR="00FF36C0" w:rsidRDefault="00FF36C0" w:rsidP="00FF36C0">
      <w:pPr>
        <w:pStyle w:val="Testonormale2"/>
        <w:spacing w:before="120" w:after="120"/>
        <w:ind w:firstLine="709"/>
        <w:jc w:val="both"/>
        <w:rPr>
          <w:rFonts w:asciiTheme="minorHAnsi" w:hAnsiTheme="minorHAnsi" w:cs="Arial"/>
          <w:color w:val="000000"/>
          <w:sz w:val="22"/>
          <w:szCs w:val="22"/>
        </w:rPr>
      </w:pPr>
      <w:r w:rsidRPr="00FB02AF">
        <w:rPr>
          <w:rFonts w:asciiTheme="minorHAnsi" w:hAnsiTheme="minorHAnsi" w:cs="Arial"/>
          <w:color w:val="000000"/>
          <w:sz w:val="22"/>
          <w:szCs w:val="22"/>
        </w:rPr>
        <w:t xml:space="preserve">L’ARNAS </w:t>
      </w:r>
      <w:r>
        <w:rPr>
          <w:rFonts w:asciiTheme="minorHAnsi" w:hAnsiTheme="minorHAnsi" w:cs="Arial"/>
          <w:color w:val="000000"/>
          <w:sz w:val="22"/>
          <w:szCs w:val="22"/>
        </w:rPr>
        <w:t>Civico di Palermo è collocata nel contesto urbano della città di Palermo con due Presidi, il PO Civico e il PO G. Di Cristina, unico Presidio Pediatrico in ambito Regionale.</w:t>
      </w:r>
      <w:r w:rsidRPr="00FB02AF">
        <w:rPr>
          <w:rFonts w:asciiTheme="minorHAnsi" w:hAnsiTheme="minorHAnsi" w:cs="Arial"/>
          <w:color w:val="000000"/>
          <w:sz w:val="22"/>
          <w:szCs w:val="22"/>
        </w:rPr>
        <w:t xml:space="preserve"> </w:t>
      </w:r>
    </w:p>
    <w:p w:rsidR="00FF36C0" w:rsidRDefault="00FF36C0" w:rsidP="00FF36C0">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L’Azienda, che unitamente alle altre Aziende ospedaliere cittadine completa la rete sanitaria pubblica della città di Palermo con un’offerta sanitaria fra le più importanti e complete dell’intera Regione, opera in un’area fortemente urbanizzata, con una popolazione di 677.997 abitanti (fonte ISTAT censimento 2014) con una superficie di 160,59 Km</w:t>
      </w:r>
      <w:r w:rsidRPr="005D20F7">
        <w:rPr>
          <w:rFonts w:asciiTheme="minorHAnsi" w:hAnsiTheme="minorHAnsi" w:cs="Arial"/>
          <w:color w:val="000000"/>
          <w:sz w:val="22"/>
          <w:szCs w:val="22"/>
          <w:vertAlign w:val="superscript"/>
        </w:rPr>
        <w:t>2</w:t>
      </w:r>
      <w:r>
        <w:rPr>
          <w:rFonts w:asciiTheme="minorHAnsi" w:hAnsiTheme="minorHAnsi" w:cs="Arial"/>
          <w:color w:val="000000"/>
          <w:sz w:val="22"/>
          <w:szCs w:val="22"/>
        </w:rPr>
        <w:t xml:space="preserve"> ed una popolazione provinciale pari a 1.276.525 abitanti distribuita in 82 comuni. La densità della popolazione provinciale è pari a 254,8 per Km</w:t>
      </w:r>
      <w:r w:rsidRPr="005D20F7">
        <w:rPr>
          <w:rFonts w:asciiTheme="minorHAnsi" w:hAnsiTheme="minorHAnsi" w:cs="Arial"/>
          <w:color w:val="000000"/>
          <w:sz w:val="22"/>
          <w:szCs w:val="22"/>
          <w:vertAlign w:val="superscript"/>
        </w:rPr>
        <w:t>2</w:t>
      </w:r>
      <w:r>
        <w:rPr>
          <w:rFonts w:asciiTheme="minorHAnsi" w:hAnsiTheme="minorHAnsi" w:cs="Arial"/>
          <w:color w:val="000000"/>
          <w:sz w:val="22"/>
          <w:szCs w:val="22"/>
        </w:rPr>
        <w:t>.</w:t>
      </w:r>
    </w:p>
    <w:p w:rsidR="00FF36C0" w:rsidRDefault="00FF36C0" w:rsidP="00FF36C0">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 xml:space="preserve">Il </w:t>
      </w:r>
      <w:r w:rsidRPr="00643C46">
        <w:rPr>
          <w:rFonts w:asciiTheme="minorHAnsi" w:hAnsiTheme="minorHAnsi" w:cs="Arial"/>
          <w:b/>
          <w:color w:val="000000"/>
          <w:sz w:val="22"/>
          <w:szCs w:val="22"/>
        </w:rPr>
        <w:t>tasso di ospedalizzazione grezzo</w:t>
      </w:r>
      <w:r>
        <w:rPr>
          <w:rFonts w:asciiTheme="minorHAnsi" w:hAnsiTheme="minorHAnsi" w:cs="Arial"/>
          <w:color w:val="000000"/>
          <w:sz w:val="22"/>
          <w:szCs w:val="22"/>
        </w:rPr>
        <w:t xml:space="preserve"> nella Provincia di Palermo (dati PROD 2013) è del 135,3%, il più basso a livello Regionale, in progressiva riduzione dall’anno 2009.</w:t>
      </w:r>
    </w:p>
    <w:p w:rsidR="00FF36C0" w:rsidRDefault="00FF36C0" w:rsidP="00FF36C0">
      <w:pPr>
        <w:pStyle w:val="Testonormale2"/>
        <w:spacing w:before="120" w:after="120"/>
        <w:ind w:firstLine="709"/>
        <w:jc w:val="center"/>
        <w:rPr>
          <w:rFonts w:asciiTheme="minorHAnsi" w:hAnsiTheme="minorHAnsi" w:cs="Arial"/>
          <w:color w:val="000000"/>
          <w:sz w:val="22"/>
          <w:szCs w:val="22"/>
        </w:rPr>
      </w:pPr>
      <w:r>
        <w:rPr>
          <w:noProof/>
          <w:lang w:eastAsia="it-IT"/>
        </w:rPr>
        <w:drawing>
          <wp:inline distT="0" distB="0" distL="0" distR="0" wp14:anchorId="519275D3" wp14:editId="7ABEF1FF">
            <wp:extent cx="3380339" cy="18732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6438" cy="1876630"/>
                    </a:xfrm>
                    <a:prstGeom prst="rect">
                      <a:avLst/>
                    </a:prstGeom>
                  </pic:spPr>
                </pic:pic>
              </a:graphicData>
            </a:graphic>
          </wp:inline>
        </w:drawing>
      </w:r>
    </w:p>
    <w:p w:rsidR="00FF36C0" w:rsidRDefault="00FF36C0" w:rsidP="00FF36C0">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 xml:space="preserve">Relativamente alla </w:t>
      </w:r>
      <w:r w:rsidRPr="00927898">
        <w:rPr>
          <w:rFonts w:asciiTheme="minorHAnsi" w:hAnsiTheme="minorHAnsi" w:cs="Arial"/>
          <w:b/>
          <w:color w:val="000000"/>
          <w:sz w:val="22"/>
          <w:szCs w:val="22"/>
        </w:rPr>
        <w:t>mobilità intra</w:t>
      </w:r>
      <w:r>
        <w:rPr>
          <w:rFonts w:asciiTheme="minorHAnsi" w:hAnsiTheme="minorHAnsi" w:cs="Arial"/>
          <w:b/>
          <w:color w:val="000000"/>
          <w:sz w:val="22"/>
          <w:szCs w:val="22"/>
        </w:rPr>
        <w:t>-</w:t>
      </w:r>
      <w:r w:rsidRPr="00927898">
        <w:rPr>
          <w:rFonts w:asciiTheme="minorHAnsi" w:hAnsiTheme="minorHAnsi" w:cs="Arial"/>
          <w:b/>
          <w:color w:val="000000"/>
          <w:sz w:val="22"/>
          <w:szCs w:val="22"/>
        </w:rPr>
        <w:t>regionale</w:t>
      </w:r>
      <w:r w:rsidRPr="00643C46">
        <w:rPr>
          <w:rFonts w:asciiTheme="minorHAnsi" w:hAnsiTheme="minorHAnsi" w:cs="Arial"/>
          <w:color w:val="000000"/>
          <w:sz w:val="22"/>
          <w:szCs w:val="22"/>
        </w:rPr>
        <w:t>, se da un lato si osserva una riduzione della mobilità attiva in termini di numero di ricovero (2013: 28.198 2014: 25.076), dall'altro si evidenzia un aumento della complessità dei casi trattati (2013 valore tot DRG 116.095.536 euro 2014 116.368.347 euro) che dimostrano, sempre pi</w:t>
      </w:r>
      <w:r>
        <w:rPr>
          <w:rFonts w:asciiTheme="minorHAnsi" w:hAnsiTheme="minorHAnsi" w:cs="Arial"/>
          <w:color w:val="000000"/>
          <w:sz w:val="22"/>
          <w:szCs w:val="22"/>
        </w:rPr>
        <w:t>ù</w:t>
      </w:r>
      <w:r w:rsidRPr="00643C46">
        <w:rPr>
          <w:rFonts w:asciiTheme="minorHAnsi" w:hAnsiTheme="minorHAnsi" w:cs="Arial"/>
          <w:color w:val="000000"/>
          <w:sz w:val="22"/>
          <w:szCs w:val="22"/>
        </w:rPr>
        <w:t>, quanto la provincia di Palermo rappresenti ormai un punto di riferimento per l'alta complessità nel contesto regionale. I dati relativi alla mobilità passiva non fanno che confermare quanto affermato registrando oltretutto una riduzione tra il 2013 ed il 2014.</w:t>
      </w:r>
    </w:p>
    <w:p w:rsidR="00FF36C0" w:rsidRDefault="00FF36C0" w:rsidP="00FF36C0">
      <w:pPr>
        <w:pStyle w:val="Testonormale2"/>
        <w:spacing w:before="120" w:after="120"/>
        <w:ind w:firstLine="709"/>
        <w:jc w:val="center"/>
        <w:rPr>
          <w:rFonts w:asciiTheme="minorHAnsi" w:hAnsiTheme="minorHAnsi" w:cs="Arial"/>
          <w:color w:val="000000"/>
          <w:sz w:val="22"/>
          <w:szCs w:val="22"/>
        </w:rPr>
      </w:pPr>
      <w:r>
        <w:rPr>
          <w:noProof/>
          <w:lang w:eastAsia="it-IT"/>
        </w:rPr>
        <w:drawing>
          <wp:inline distT="0" distB="0" distL="0" distR="0" wp14:anchorId="0A56B562" wp14:editId="3B7919E3">
            <wp:extent cx="4851400" cy="2371336"/>
            <wp:effectExtent l="0" t="0" r="635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6503" cy="2373830"/>
                    </a:xfrm>
                    <a:prstGeom prst="rect">
                      <a:avLst/>
                    </a:prstGeom>
                  </pic:spPr>
                </pic:pic>
              </a:graphicData>
            </a:graphic>
          </wp:inline>
        </w:drawing>
      </w:r>
    </w:p>
    <w:p w:rsidR="00FF36C0" w:rsidRDefault="00FF36C0" w:rsidP="00FF36C0">
      <w:pPr>
        <w:pStyle w:val="Testonormale2"/>
        <w:spacing w:before="120" w:after="120"/>
        <w:ind w:firstLine="709"/>
        <w:rPr>
          <w:rFonts w:asciiTheme="minorHAnsi" w:hAnsiTheme="minorHAnsi" w:cs="Arial"/>
          <w:color w:val="000000"/>
          <w:sz w:val="22"/>
          <w:szCs w:val="22"/>
        </w:rPr>
      </w:pPr>
      <w:r>
        <w:rPr>
          <w:rFonts w:asciiTheme="minorHAnsi" w:hAnsiTheme="minorHAnsi" w:cs="Arial"/>
          <w:color w:val="000000"/>
          <w:sz w:val="22"/>
          <w:szCs w:val="22"/>
        </w:rPr>
        <w:t>Anche il dato relativo alla mobilità extraregionale conferma la tendenzialmente la riduzione al ricorso al ricovero fuori Provincia.</w:t>
      </w:r>
    </w:p>
    <w:p w:rsidR="00FF36C0" w:rsidRDefault="00FF36C0" w:rsidP="00FF36C0">
      <w:pPr>
        <w:pStyle w:val="Testonormale2"/>
        <w:spacing w:before="120" w:after="120"/>
        <w:ind w:firstLine="709"/>
        <w:rPr>
          <w:rFonts w:asciiTheme="minorHAnsi" w:hAnsiTheme="minorHAnsi" w:cs="Arial"/>
          <w:color w:val="000000"/>
          <w:sz w:val="22"/>
          <w:szCs w:val="22"/>
        </w:rPr>
      </w:pPr>
    </w:p>
    <w:p w:rsidR="00FF36C0" w:rsidRDefault="00FF36C0" w:rsidP="00FF36C0">
      <w:pPr>
        <w:pStyle w:val="Testonormale2"/>
        <w:spacing w:before="120" w:after="120"/>
        <w:ind w:firstLine="709"/>
        <w:jc w:val="center"/>
        <w:rPr>
          <w:rFonts w:asciiTheme="minorHAnsi" w:hAnsiTheme="minorHAnsi" w:cs="Arial"/>
          <w:color w:val="000000"/>
          <w:sz w:val="22"/>
          <w:szCs w:val="22"/>
        </w:rPr>
      </w:pPr>
      <w:r>
        <w:rPr>
          <w:noProof/>
          <w:lang w:eastAsia="it-IT"/>
        </w:rPr>
        <w:lastRenderedPageBreak/>
        <w:drawing>
          <wp:inline distT="0" distB="0" distL="0" distR="0" wp14:anchorId="2FE2F687" wp14:editId="31186373">
            <wp:extent cx="4450319" cy="2254250"/>
            <wp:effectExtent l="0" t="0" r="762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3578" cy="2255901"/>
                    </a:xfrm>
                    <a:prstGeom prst="rect">
                      <a:avLst/>
                    </a:prstGeom>
                  </pic:spPr>
                </pic:pic>
              </a:graphicData>
            </a:graphic>
          </wp:inline>
        </w:drawing>
      </w:r>
    </w:p>
    <w:p w:rsidR="00FF36C0" w:rsidRDefault="00FF36C0" w:rsidP="00FF36C0">
      <w:pPr>
        <w:pStyle w:val="Testonormale2"/>
        <w:spacing w:before="120" w:after="120"/>
        <w:ind w:firstLine="709"/>
        <w:jc w:val="both"/>
        <w:rPr>
          <w:rFonts w:asciiTheme="minorHAnsi" w:hAnsiTheme="minorHAnsi" w:cs="Arial"/>
          <w:color w:val="000000"/>
          <w:sz w:val="22"/>
          <w:szCs w:val="22"/>
        </w:rPr>
      </w:pPr>
    </w:p>
    <w:p w:rsidR="00FF36C0" w:rsidRDefault="00FF36C0" w:rsidP="00FF36C0">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Uno dei f</w:t>
      </w:r>
      <w:r w:rsidRPr="006B03EA">
        <w:rPr>
          <w:rFonts w:asciiTheme="minorHAnsi" w:hAnsiTheme="minorHAnsi" w:cs="Arial"/>
          <w:color w:val="000000"/>
          <w:sz w:val="22"/>
          <w:szCs w:val="22"/>
        </w:rPr>
        <w:t>attori esterni che i</w:t>
      </w:r>
      <w:r>
        <w:rPr>
          <w:rFonts w:asciiTheme="minorHAnsi" w:hAnsiTheme="minorHAnsi" w:cs="Arial"/>
          <w:color w:val="000000"/>
          <w:sz w:val="22"/>
          <w:szCs w:val="22"/>
        </w:rPr>
        <w:t>nfluenza fortemente</w:t>
      </w:r>
      <w:r w:rsidRPr="006B03EA">
        <w:rPr>
          <w:rFonts w:asciiTheme="minorHAnsi" w:hAnsiTheme="minorHAnsi" w:cs="Arial"/>
          <w:color w:val="000000"/>
          <w:sz w:val="22"/>
          <w:szCs w:val="22"/>
        </w:rPr>
        <w:t xml:space="preserve"> la strategia aziendale </w:t>
      </w:r>
      <w:r>
        <w:rPr>
          <w:rFonts w:asciiTheme="minorHAnsi" w:hAnsiTheme="minorHAnsi" w:cs="Arial"/>
          <w:color w:val="000000"/>
          <w:sz w:val="22"/>
          <w:szCs w:val="22"/>
        </w:rPr>
        <w:t>ipotecando</w:t>
      </w:r>
      <w:r w:rsidRPr="006B03EA">
        <w:rPr>
          <w:rFonts w:asciiTheme="minorHAnsi" w:hAnsiTheme="minorHAnsi" w:cs="Arial"/>
          <w:color w:val="000000"/>
          <w:sz w:val="22"/>
          <w:szCs w:val="22"/>
        </w:rPr>
        <w:t xml:space="preserve"> i risultat</w:t>
      </w:r>
      <w:r>
        <w:rPr>
          <w:rFonts w:asciiTheme="minorHAnsi" w:hAnsiTheme="minorHAnsi" w:cs="Arial"/>
          <w:color w:val="000000"/>
          <w:sz w:val="22"/>
          <w:szCs w:val="22"/>
        </w:rPr>
        <w:t>i</w:t>
      </w:r>
      <w:r w:rsidRPr="006B03EA">
        <w:rPr>
          <w:rFonts w:asciiTheme="minorHAnsi" w:hAnsiTheme="minorHAnsi" w:cs="Arial"/>
          <w:color w:val="000000"/>
          <w:sz w:val="22"/>
          <w:szCs w:val="22"/>
        </w:rPr>
        <w:t xml:space="preserve"> finanzia</w:t>
      </w:r>
      <w:r>
        <w:rPr>
          <w:rFonts w:asciiTheme="minorHAnsi" w:hAnsiTheme="minorHAnsi" w:cs="Arial"/>
          <w:color w:val="000000"/>
          <w:sz w:val="22"/>
          <w:szCs w:val="22"/>
        </w:rPr>
        <w:t>ri</w:t>
      </w:r>
      <w:r w:rsidRPr="006B03EA">
        <w:rPr>
          <w:rFonts w:asciiTheme="minorHAnsi" w:hAnsiTheme="minorHAnsi" w:cs="Arial"/>
          <w:color w:val="000000"/>
          <w:sz w:val="22"/>
          <w:szCs w:val="22"/>
        </w:rPr>
        <w:t xml:space="preserve"> e di attivi</w:t>
      </w:r>
      <w:r>
        <w:rPr>
          <w:rFonts w:asciiTheme="minorHAnsi" w:hAnsiTheme="minorHAnsi" w:cs="Arial"/>
          <w:color w:val="000000"/>
          <w:sz w:val="22"/>
          <w:szCs w:val="22"/>
        </w:rPr>
        <w:t xml:space="preserve">tà dell’ARNAS è </w:t>
      </w:r>
      <w:r w:rsidRPr="006B03EA">
        <w:rPr>
          <w:rFonts w:asciiTheme="minorHAnsi" w:hAnsiTheme="minorHAnsi" w:cs="Arial"/>
          <w:color w:val="000000"/>
          <w:sz w:val="22"/>
          <w:szCs w:val="22"/>
        </w:rPr>
        <w:t>il rapido invecchiamento della popolazione siciliana</w:t>
      </w:r>
      <w:r>
        <w:rPr>
          <w:rFonts w:asciiTheme="minorHAnsi" w:hAnsiTheme="minorHAnsi" w:cs="Arial"/>
          <w:color w:val="000000"/>
          <w:sz w:val="22"/>
          <w:szCs w:val="22"/>
        </w:rPr>
        <w:t>,</w:t>
      </w:r>
      <w:r w:rsidRPr="006B03EA">
        <w:rPr>
          <w:rFonts w:asciiTheme="minorHAnsi" w:hAnsiTheme="minorHAnsi" w:cs="Arial"/>
          <w:color w:val="000000"/>
          <w:sz w:val="22"/>
          <w:szCs w:val="22"/>
        </w:rPr>
        <w:t xml:space="preserve"> derivante anche dalla dispersione della fascia giovanile</w:t>
      </w:r>
    </w:p>
    <w:p w:rsidR="00FF36C0" w:rsidRDefault="00FF36C0" w:rsidP="00FF36C0">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 xml:space="preserve">Infatti, è noto che il progressivo invecchiamento della popolazione rappresenti una delle maggiori cause di ricorso ai sistemi sanitari. Ciò </w:t>
      </w:r>
      <w:r w:rsidRPr="006B03EA">
        <w:rPr>
          <w:rFonts w:asciiTheme="minorHAnsi" w:hAnsiTheme="minorHAnsi" w:cs="Arial"/>
          <w:color w:val="000000"/>
          <w:sz w:val="22"/>
          <w:szCs w:val="22"/>
        </w:rPr>
        <w:t>impo</w:t>
      </w:r>
      <w:r>
        <w:rPr>
          <w:rFonts w:asciiTheme="minorHAnsi" w:hAnsiTheme="minorHAnsi" w:cs="Arial"/>
          <w:color w:val="000000"/>
          <w:sz w:val="22"/>
          <w:szCs w:val="22"/>
        </w:rPr>
        <w:t>ne</w:t>
      </w:r>
      <w:r w:rsidRPr="006B03EA">
        <w:rPr>
          <w:rFonts w:asciiTheme="minorHAnsi" w:hAnsiTheme="minorHAnsi" w:cs="Arial"/>
          <w:color w:val="000000"/>
          <w:sz w:val="22"/>
          <w:szCs w:val="22"/>
        </w:rPr>
        <w:t xml:space="preserve"> una diversa gestione del paziente ospedaliero, sia perché le esigenze individuali di natura alberghiera sono più complesse (e comportano l’aumento dei costi generali) sia perché, ancorché la dimissione sia sempre classificata con uno specifico DRG, la relativa degenza comporta spesso la gestione di casistiche “poli-patologiche”</w:t>
      </w:r>
      <w:r>
        <w:rPr>
          <w:rFonts w:asciiTheme="minorHAnsi" w:hAnsiTheme="minorHAnsi" w:cs="Arial"/>
          <w:color w:val="000000"/>
          <w:sz w:val="22"/>
          <w:szCs w:val="22"/>
        </w:rPr>
        <w:t>.</w:t>
      </w:r>
    </w:p>
    <w:p w:rsidR="00FF36C0" w:rsidRDefault="00FF36C0" w:rsidP="00FF36C0">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D’altra parte, le previsioni sulla configurazione della popolazione siciliana dei prossimi 50 anni, calcolate da Deo Geo Istat su alcuni indicatori demografici evidenziano:</w:t>
      </w:r>
    </w:p>
    <w:p w:rsidR="00FF36C0" w:rsidRDefault="00FF36C0" w:rsidP="00FF36C0">
      <w:pPr>
        <w:pStyle w:val="Testonormale2"/>
        <w:numPr>
          <w:ilvl w:val="0"/>
          <w:numId w:val="21"/>
        </w:numPr>
        <w:spacing w:before="120" w:after="120"/>
        <w:jc w:val="both"/>
        <w:rPr>
          <w:rFonts w:asciiTheme="minorHAnsi" w:hAnsiTheme="minorHAnsi" w:cs="Arial"/>
          <w:color w:val="000000"/>
          <w:sz w:val="22"/>
          <w:szCs w:val="22"/>
        </w:rPr>
      </w:pPr>
      <w:r>
        <w:rPr>
          <w:rFonts w:asciiTheme="minorHAnsi" w:hAnsiTheme="minorHAnsi" w:cs="Arial"/>
          <w:color w:val="000000"/>
          <w:sz w:val="22"/>
          <w:szCs w:val="22"/>
        </w:rPr>
        <w:t>un progressivo tasso migratorio della popolazione verso l’estero;</w:t>
      </w:r>
    </w:p>
    <w:p w:rsidR="00FF36C0" w:rsidRDefault="00FF36C0" w:rsidP="00FF36C0">
      <w:pPr>
        <w:pStyle w:val="Testonormale2"/>
        <w:numPr>
          <w:ilvl w:val="0"/>
          <w:numId w:val="21"/>
        </w:numPr>
        <w:spacing w:before="120" w:after="120"/>
        <w:jc w:val="both"/>
        <w:rPr>
          <w:rFonts w:asciiTheme="minorHAnsi" w:hAnsiTheme="minorHAnsi" w:cs="Arial"/>
          <w:color w:val="000000"/>
          <w:sz w:val="22"/>
          <w:szCs w:val="22"/>
        </w:rPr>
      </w:pPr>
      <w:r>
        <w:rPr>
          <w:rFonts w:asciiTheme="minorHAnsi" w:hAnsiTheme="minorHAnsi" w:cs="Arial"/>
          <w:color w:val="000000"/>
          <w:sz w:val="22"/>
          <w:szCs w:val="22"/>
        </w:rPr>
        <w:t>un aumento dell’indice di vecchiaia percentuale (nel 2013=131; nel 2065=288; ad ogni 100 giovani corrispondevano 131 anziani nel 2013, che aumenteranno fino a diventare 228 per ogni 100 giovani nel 2065);</w:t>
      </w:r>
    </w:p>
    <w:p w:rsidR="00FF36C0" w:rsidRDefault="00FF36C0" w:rsidP="00FF36C0">
      <w:pPr>
        <w:pStyle w:val="Testonormale2"/>
        <w:numPr>
          <w:ilvl w:val="0"/>
          <w:numId w:val="21"/>
        </w:numPr>
        <w:spacing w:before="120" w:after="120"/>
        <w:jc w:val="both"/>
        <w:rPr>
          <w:rFonts w:asciiTheme="minorHAnsi" w:hAnsiTheme="minorHAnsi" w:cs="Arial"/>
          <w:color w:val="000000"/>
          <w:sz w:val="22"/>
          <w:szCs w:val="22"/>
        </w:rPr>
      </w:pPr>
      <w:r>
        <w:rPr>
          <w:rFonts w:asciiTheme="minorHAnsi" w:hAnsiTheme="minorHAnsi" w:cs="Arial"/>
          <w:color w:val="000000"/>
          <w:sz w:val="22"/>
          <w:szCs w:val="22"/>
        </w:rPr>
        <w:t>aumento dell’indice di dipendenza degli anziani percentuale (nel 2020=32,9%; nel 2065=65,7%, percentuale di abitanti a carico del sistema pensionistico).</w:t>
      </w:r>
    </w:p>
    <w:p w:rsidR="00FF36C0" w:rsidRPr="00CB0FC9" w:rsidRDefault="00FF36C0" w:rsidP="00FF36C0">
      <w:pPr>
        <w:pStyle w:val="Testonormale2"/>
        <w:spacing w:before="120" w:after="120"/>
        <w:jc w:val="both"/>
        <w:rPr>
          <w:rFonts w:asciiTheme="minorHAnsi" w:hAnsiTheme="minorHAnsi" w:cs="Arial"/>
          <w:color w:val="000000"/>
          <w:sz w:val="22"/>
          <w:szCs w:val="22"/>
        </w:rPr>
      </w:pPr>
      <w:r>
        <w:rPr>
          <w:rFonts w:asciiTheme="minorHAnsi" w:hAnsiTheme="minorHAnsi" w:cs="Arial"/>
          <w:color w:val="000000"/>
          <w:sz w:val="22"/>
          <w:szCs w:val="22"/>
        </w:rPr>
        <w:tab/>
        <w:t xml:space="preserve">Un simile contesto, peraltro, non può che generare una domanda per le malattie cronico degenerative (tumori, malattie cardio e cerebrovascolari) che già rappresentano la stragrande maggioranza delle cause di morte, che se non adeguatamente governata a livello territoriale, rischia di determinare difficoltà a carico dei servizi ospedalieri.  </w:t>
      </w:r>
    </w:p>
    <w:p w:rsidR="00FF36C0" w:rsidRDefault="00FF36C0" w:rsidP="00FF36C0">
      <w:pPr>
        <w:pStyle w:val="Testonormale2"/>
        <w:spacing w:before="120" w:after="120"/>
        <w:ind w:firstLine="709"/>
        <w:jc w:val="both"/>
        <w:rPr>
          <w:rFonts w:asciiTheme="minorHAnsi" w:hAnsiTheme="minorHAnsi" w:cs="Arial"/>
          <w:color w:val="000000"/>
          <w:sz w:val="22"/>
          <w:szCs w:val="22"/>
        </w:rPr>
      </w:pPr>
    </w:p>
    <w:p w:rsidR="00603586" w:rsidRDefault="00603586" w:rsidP="00DD0E8F">
      <w:pPr>
        <w:jc w:val="both"/>
        <w:rPr>
          <w:b/>
          <w:i/>
          <w:color w:val="0070C0"/>
        </w:rPr>
      </w:pPr>
      <w:r w:rsidRPr="00DD0E8F">
        <w:rPr>
          <w:b/>
          <w:i/>
          <w:color w:val="0070C0"/>
        </w:rPr>
        <w:t xml:space="preserve">4.2 Analisi del contesto interno </w:t>
      </w:r>
    </w:p>
    <w:p w:rsidR="005F177D" w:rsidRDefault="005F177D" w:rsidP="005F177D">
      <w:pPr>
        <w:jc w:val="both"/>
      </w:pPr>
      <w:r>
        <w:t>L’Atto aziendal</w:t>
      </w:r>
      <w:r w:rsidR="00252366">
        <w:t>e</w:t>
      </w:r>
      <w:r>
        <w:t xml:space="preserve"> in atto vigente è stato adottato dall’ARNAS con Deliberazione n°1328 del 5 ottobre 2011 alla luce delle modifiche approvate con il D.A. n°1725 del 16 settembre 2011. La Dotazione Organica è stata determinata con Atto Deliberativo n°131 del 31 gennaio 2011.</w:t>
      </w:r>
    </w:p>
    <w:p w:rsidR="005F177D" w:rsidRDefault="005F177D" w:rsidP="005F177D">
      <w:pPr>
        <w:jc w:val="both"/>
      </w:pPr>
      <w:r>
        <w:t xml:space="preserve">Il cambio al vertice dell’Azienda, effettivo dall’1 luglio 2014 ha comportato l’avvio di una riorganizzazione delle attività sanitarie ed amministrative da esplicitare nell’atto aziendale che sarà esitato nei prossimi mesi, anche alla luce del DA del </w:t>
      </w:r>
      <w:r w:rsidRPr="00B23FB2">
        <w:t>14 gennaio 2015</w:t>
      </w:r>
      <w:r>
        <w:t xml:space="preserve"> “Riqualificazione e rifunzionalizzazione della rete ospe</w:t>
      </w:r>
      <w:r w:rsidRPr="00B23FB2">
        <w:t>daliera-territoriale della Regione Sicilia</w:t>
      </w:r>
      <w:r>
        <w:t>”.</w:t>
      </w:r>
    </w:p>
    <w:p w:rsidR="00534233" w:rsidRDefault="00534233" w:rsidP="005F177D">
      <w:pPr>
        <w:jc w:val="both"/>
      </w:pPr>
      <w:r>
        <w:lastRenderedPageBreak/>
        <w:t>Con Deliberazione n.1222 del 2 settembre 2015 è stata approvato lo schema del nuovo Atto Aziendale, con deliberazione n.1304 del 25 settembre 2015 è stata rideterminata la nuova dotazione organica.</w:t>
      </w:r>
      <w:r w:rsidR="00A61ABF">
        <w:t xml:space="preserve"> Tali documenti sono al vaglio dell’Amministrazione Regionale.</w:t>
      </w:r>
    </w:p>
    <w:p w:rsidR="00603586" w:rsidRPr="00B57F01" w:rsidRDefault="00DD0E8F" w:rsidP="00B57F01">
      <w:pPr>
        <w:jc w:val="both"/>
        <w:rPr>
          <w:b/>
        </w:rPr>
      </w:pPr>
      <w:r w:rsidRPr="00B57F01">
        <w:rPr>
          <w:b/>
          <w:color w:val="002060"/>
        </w:rPr>
        <w:t>Punti di Forza</w:t>
      </w:r>
    </w:p>
    <w:p w:rsidR="00DD0E8F" w:rsidRDefault="00DD0E8F" w:rsidP="00DD0E8F">
      <w:pPr>
        <w:pStyle w:val="Paragrafoelenco"/>
        <w:numPr>
          <w:ilvl w:val="0"/>
          <w:numId w:val="6"/>
        </w:numPr>
        <w:jc w:val="both"/>
      </w:pPr>
      <w:r>
        <w:t>presenza</w:t>
      </w:r>
      <w:r w:rsidR="00B57F01">
        <w:t xml:space="preserve"> </w:t>
      </w:r>
      <w:r>
        <w:t>di tutte le specialità medico sanitarie in quanto ARNAS;</w:t>
      </w:r>
    </w:p>
    <w:p w:rsidR="00DD0E8F" w:rsidRDefault="00B57F01" w:rsidP="00DD0E8F">
      <w:pPr>
        <w:pStyle w:val="Paragrafoelenco"/>
        <w:numPr>
          <w:ilvl w:val="0"/>
          <w:numId w:val="6"/>
        </w:numPr>
        <w:jc w:val="both"/>
      </w:pPr>
      <w:r>
        <w:t>alta competenza tecnico-professionale;</w:t>
      </w:r>
    </w:p>
    <w:p w:rsidR="00B57F01" w:rsidRDefault="00B57F01" w:rsidP="00B57F01">
      <w:pPr>
        <w:pStyle w:val="Paragrafoelenco"/>
        <w:numPr>
          <w:ilvl w:val="0"/>
          <w:numId w:val="6"/>
        </w:numPr>
        <w:jc w:val="both"/>
      </w:pPr>
      <w:r>
        <w:t>dotazione di tecnologie diagnostiche e terapeutiche avanzate ed innovative;</w:t>
      </w:r>
    </w:p>
    <w:p w:rsidR="00B57F01" w:rsidRDefault="00B57F01" w:rsidP="00B57F01">
      <w:pPr>
        <w:pStyle w:val="Paragrafoelenco"/>
        <w:numPr>
          <w:ilvl w:val="0"/>
          <w:numId w:val="6"/>
        </w:numPr>
        <w:jc w:val="both"/>
      </w:pPr>
      <w:r>
        <w:t>garanzia dell’espletamento degli interventi chirurgici complessi in emergenza con un approccio multispecialistico e mutidisciplinare, per fare “quanto occorre nello stesso tempo e in un unico  posto”.</w:t>
      </w:r>
    </w:p>
    <w:p w:rsidR="005F177D" w:rsidRDefault="005F177D" w:rsidP="005F177D">
      <w:pPr>
        <w:pStyle w:val="Paragrafoelenco"/>
        <w:jc w:val="both"/>
      </w:pPr>
    </w:p>
    <w:p w:rsidR="00B57F01" w:rsidRPr="00B57F01" w:rsidRDefault="00B57F01" w:rsidP="00B57F01">
      <w:pPr>
        <w:jc w:val="both"/>
        <w:rPr>
          <w:b/>
        </w:rPr>
      </w:pPr>
      <w:r w:rsidRPr="00B57F01">
        <w:rPr>
          <w:b/>
          <w:color w:val="002060"/>
        </w:rPr>
        <w:t xml:space="preserve">Punti di </w:t>
      </w:r>
      <w:r>
        <w:rPr>
          <w:b/>
          <w:color w:val="002060"/>
        </w:rPr>
        <w:t>Debolezza</w:t>
      </w:r>
    </w:p>
    <w:p w:rsidR="00603586" w:rsidRDefault="002E2825" w:rsidP="000A1A28">
      <w:pPr>
        <w:pStyle w:val="Paragrafoelenco"/>
        <w:numPr>
          <w:ilvl w:val="0"/>
          <w:numId w:val="18"/>
        </w:numPr>
        <w:jc w:val="both"/>
      </w:pPr>
      <w:r>
        <w:t>A</w:t>
      </w:r>
      <w:r w:rsidR="00D5058F">
        <w:t>rticolazione in padiglioni separati</w:t>
      </w:r>
      <w:r>
        <w:t xml:space="preserve"> che</w:t>
      </w:r>
      <w:r w:rsidR="00D5058F">
        <w:t>, in particolare per il PO Civico, comporta:</w:t>
      </w:r>
    </w:p>
    <w:p w:rsidR="00D5058F" w:rsidRDefault="00D5058F" w:rsidP="00D5058F">
      <w:pPr>
        <w:pStyle w:val="Paragrafoelenco"/>
        <w:numPr>
          <w:ilvl w:val="0"/>
          <w:numId w:val="6"/>
        </w:numPr>
        <w:jc w:val="both"/>
      </w:pPr>
      <w:r>
        <w:t xml:space="preserve">ritardi sull’iter diagnostico terapeutico; </w:t>
      </w:r>
    </w:p>
    <w:p w:rsidR="00D5058F" w:rsidRDefault="00D5058F" w:rsidP="00D5058F">
      <w:pPr>
        <w:pStyle w:val="Paragrafoelenco"/>
        <w:numPr>
          <w:ilvl w:val="0"/>
          <w:numId w:val="6"/>
        </w:numPr>
        <w:jc w:val="both"/>
      </w:pPr>
      <w:r>
        <w:t>aumento dei costi di gestione influendo sulla possibilità di ottimizzare i turni di  guardia, richiedendo, in taluni casi, la duplicazione di attrezzature medicali onde evitare pericolosi spostamenti a pazienti critici.</w:t>
      </w:r>
    </w:p>
    <w:p w:rsidR="00D5058F" w:rsidRDefault="00D5058F" w:rsidP="000A1A28">
      <w:pPr>
        <w:pStyle w:val="Paragrafoelenco"/>
        <w:numPr>
          <w:ilvl w:val="0"/>
          <w:numId w:val="18"/>
        </w:numPr>
        <w:jc w:val="both"/>
      </w:pPr>
      <w:r>
        <w:t>Necessità di opere di ristrutturazione che rispondano a logiche organizzative di edilizia sanitaria moderna</w:t>
      </w:r>
      <w:r w:rsidR="002E2825">
        <w:t>, nel rispetto della normativa vigente in tema di sicurezza.</w:t>
      </w:r>
      <w:r>
        <w:t xml:space="preserve"> </w:t>
      </w:r>
    </w:p>
    <w:p w:rsidR="00D5058F" w:rsidRDefault="002E2825" w:rsidP="000A1A28">
      <w:pPr>
        <w:pStyle w:val="Paragrafoelenco"/>
        <w:numPr>
          <w:ilvl w:val="0"/>
          <w:numId w:val="18"/>
        </w:numPr>
        <w:jc w:val="both"/>
      </w:pPr>
      <w:r>
        <w:t>Prevalenza</w:t>
      </w:r>
      <w:r w:rsidR="00D5058F">
        <w:t xml:space="preserve"> di prestazioni inappropriate nell’Area Pediatrica</w:t>
      </w:r>
      <w:r>
        <w:t xml:space="preserve"> per la maggiore difficoltà delle strutture territoriali di gestire la presa in carico del piccolo paziente.</w:t>
      </w:r>
    </w:p>
    <w:p w:rsidR="002E2825" w:rsidRDefault="002E2825" w:rsidP="000A1A28">
      <w:pPr>
        <w:pStyle w:val="Paragrafoelenco"/>
        <w:numPr>
          <w:ilvl w:val="0"/>
          <w:numId w:val="18"/>
        </w:numPr>
        <w:jc w:val="both"/>
      </w:pPr>
      <w:r>
        <w:t>Difficoltà a differire alle strutture territoriali il paziente adulto che necessita di assistenza domiciliare o in strutture riabilitative o di lungodegenza per post-acuti.</w:t>
      </w:r>
    </w:p>
    <w:p w:rsidR="002E2825" w:rsidRDefault="002E2825" w:rsidP="000A1A28">
      <w:pPr>
        <w:pStyle w:val="Paragrafoelenco"/>
        <w:numPr>
          <w:ilvl w:val="0"/>
          <w:numId w:val="18"/>
        </w:numPr>
        <w:jc w:val="both"/>
      </w:pPr>
      <w:r>
        <w:t xml:space="preserve">Scarsa integrazione fra i sistemi informatici esistenti, parziale copertura delle attività erogate, informazioni disponibili con qualità sufficiente solo per le attività flussizzate. </w:t>
      </w:r>
    </w:p>
    <w:p w:rsidR="002E2825" w:rsidRDefault="002E2825" w:rsidP="000A1A28">
      <w:pPr>
        <w:pStyle w:val="Paragrafoelenco"/>
        <w:numPr>
          <w:ilvl w:val="0"/>
          <w:numId w:val="18"/>
        </w:numPr>
        <w:jc w:val="both"/>
      </w:pPr>
      <w:r>
        <w:t>Mancanza di un sistema informativo dedicato al controllo di gestione.</w:t>
      </w:r>
    </w:p>
    <w:p w:rsidR="00D5058F" w:rsidRDefault="00D5058F" w:rsidP="000A1A28">
      <w:pPr>
        <w:pStyle w:val="Paragrafoelenco"/>
        <w:numPr>
          <w:ilvl w:val="0"/>
          <w:numId w:val="18"/>
        </w:numPr>
        <w:jc w:val="both"/>
      </w:pPr>
      <w:r>
        <w:t>Elevata età media del personale</w:t>
      </w:r>
      <w:r w:rsidR="002E2825">
        <w:t xml:space="preserve"> in servizio</w:t>
      </w:r>
      <w:r>
        <w:t xml:space="preserve">, </w:t>
      </w:r>
      <w:r w:rsidR="002E2825">
        <w:t xml:space="preserve">necessità di </w:t>
      </w:r>
      <w:r>
        <w:t>alfabetizzazione informatica.</w:t>
      </w:r>
    </w:p>
    <w:p w:rsidR="00FF36C0" w:rsidRDefault="00FF36C0" w:rsidP="00FF36C0">
      <w:pPr>
        <w:pStyle w:val="Paragrafoelenco"/>
        <w:jc w:val="both"/>
        <w:rPr>
          <w:b/>
        </w:rPr>
      </w:pPr>
    </w:p>
    <w:p w:rsidR="00FF36C0" w:rsidRDefault="00FF36C0" w:rsidP="00FF36C0">
      <w:pPr>
        <w:pStyle w:val="Paragrafoelenco"/>
        <w:jc w:val="both"/>
        <w:rPr>
          <w:b/>
        </w:rPr>
      </w:pPr>
    </w:p>
    <w:p w:rsidR="00FF36C0" w:rsidRPr="00FF36C0" w:rsidRDefault="00FF36C0" w:rsidP="00FF36C0">
      <w:pPr>
        <w:pStyle w:val="Paragrafoelenco"/>
        <w:jc w:val="both"/>
        <w:rPr>
          <w:b/>
        </w:rPr>
      </w:pPr>
      <w:r>
        <w:rPr>
          <w:b/>
        </w:rPr>
        <w:t>5</w:t>
      </w:r>
      <w:r w:rsidRPr="00FF36C0">
        <w:rPr>
          <w:b/>
        </w:rPr>
        <w:t xml:space="preserve">. </w:t>
      </w:r>
      <w:r>
        <w:rPr>
          <w:b/>
        </w:rPr>
        <w:t>Obiettivi Strategici</w:t>
      </w:r>
      <w:r w:rsidRPr="00FF36C0">
        <w:rPr>
          <w:b/>
        </w:rPr>
        <w:t xml:space="preserve"> </w:t>
      </w:r>
    </w:p>
    <w:p w:rsidR="00434BB4" w:rsidRDefault="00E270E0" w:rsidP="00E270E0">
      <w:pPr>
        <w:pStyle w:val="Testonormale2"/>
        <w:spacing w:before="120" w:after="120"/>
        <w:ind w:firstLine="709"/>
        <w:jc w:val="both"/>
        <w:rPr>
          <w:rFonts w:ascii="Calibri" w:hAnsi="Calibri" w:cs="Arial"/>
          <w:color w:val="000000"/>
          <w:sz w:val="22"/>
          <w:szCs w:val="22"/>
        </w:rPr>
      </w:pPr>
      <w:r>
        <w:rPr>
          <w:rFonts w:ascii="Calibri" w:hAnsi="Calibri" w:cs="Arial"/>
          <w:color w:val="000000"/>
          <w:sz w:val="22"/>
          <w:szCs w:val="22"/>
        </w:rPr>
        <w:t xml:space="preserve">Gli obiettivi Aziendali sono stati assegnati dall’Assessorato della Salute alle Direzioni Strategiche di nuovo insediamento, nel mese di Luglio 2014 per il periodo luglio 2014-dicembre 2015. </w:t>
      </w:r>
    </w:p>
    <w:p w:rsidR="00434BB4" w:rsidRDefault="00434BB4" w:rsidP="00434BB4">
      <w:pPr>
        <w:pStyle w:val="Testonormale2"/>
        <w:spacing w:before="120" w:after="120"/>
        <w:ind w:firstLine="709"/>
        <w:jc w:val="both"/>
        <w:rPr>
          <w:rFonts w:ascii="Calibri" w:hAnsi="Calibri" w:cs="Arial"/>
          <w:color w:val="000000"/>
          <w:sz w:val="22"/>
          <w:szCs w:val="22"/>
        </w:rPr>
      </w:pPr>
      <w:r w:rsidRPr="00434BB4">
        <w:rPr>
          <w:rFonts w:ascii="Calibri" w:hAnsi="Calibri" w:cs="Arial"/>
          <w:color w:val="000000"/>
          <w:sz w:val="22"/>
          <w:szCs w:val="22"/>
        </w:rPr>
        <w:t>Gli obiettivi di salute e di funzionamento dei servizi assegnati alla Direzione Generale sono monitorati dall'UO Pianificazione Strategica che coordina tutte le attività dei Piani Attuativi Aziendali. Tali piani sono redatti e supportati in sinergia con le altre aziende dell'area metropolitana e l'assessorato della salute con AGENAS.</w:t>
      </w:r>
    </w:p>
    <w:p w:rsidR="00E270E0" w:rsidRDefault="00E270E0" w:rsidP="00E270E0">
      <w:pPr>
        <w:pStyle w:val="Testonormale2"/>
        <w:spacing w:before="120" w:after="120"/>
        <w:ind w:firstLine="709"/>
        <w:jc w:val="both"/>
        <w:rPr>
          <w:rFonts w:ascii="Calibri" w:hAnsi="Calibri" w:cs="Arial"/>
          <w:color w:val="000000"/>
          <w:sz w:val="22"/>
          <w:szCs w:val="22"/>
        </w:rPr>
      </w:pPr>
      <w:r w:rsidRPr="00002749">
        <w:rPr>
          <w:rFonts w:ascii="Calibri" w:hAnsi="Calibri" w:cs="Arial"/>
          <w:color w:val="000000"/>
          <w:sz w:val="22"/>
          <w:szCs w:val="22"/>
        </w:rPr>
        <w:t xml:space="preserve">La seguente tabella riporta ciascuno degli obiettivi strategici presentati nel Piano Obiettivi dell’Azienda Civico, la relativa descrizione, </w:t>
      </w:r>
      <w:r>
        <w:rPr>
          <w:rFonts w:ascii="Calibri" w:hAnsi="Calibri" w:cs="Arial"/>
          <w:color w:val="000000"/>
          <w:sz w:val="22"/>
          <w:szCs w:val="22"/>
        </w:rPr>
        <w:t>gli attori aziendali</w:t>
      </w:r>
      <w:r w:rsidRPr="00002749">
        <w:rPr>
          <w:rFonts w:ascii="Calibri" w:hAnsi="Calibri" w:cs="Arial"/>
          <w:color w:val="000000"/>
          <w:sz w:val="22"/>
          <w:szCs w:val="22"/>
        </w:rPr>
        <w:t xml:space="preserve"> </w:t>
      </w:r>
      <w:r>
        <w:rPr>
          <w:rFonts w:ascii="Calibri" w:hAnsi="Calibri" w:cs="Arial"/>
          <w:color w:val="000000"/>
          <w:sz w:val="22"/>
          <w:szCs w:val="22"/>
        </w:rPr>
        <w:t xml:space="preserve">coinvolti e i </w:t>
      </w:r>
      <w:r w:rsidRPr="003331D4">
        <w:rPr>
          <w:rFonts w:ascii="Calibri" w:hAnsi="Calibri" w:cs="Arial"/>
          <w:color w:val="000000"/>
          <w:sz w:val="22"/>
          <w:szCs w:val="22"/>
        </w:rPr>
        <w:t>risultati ottenuti a dicembre</w:t>
      </w:r>
      <w:r>
        <w:rPr>
          <w:rFonts w:ascii="Calibri" w:hAnsi="Calibri" w:cs="Arial"/>
          <w:color w:val="000000"/>
          <w:sz w:val="22"/>
          <w:szCs w:val="22"/>
        </w:rPr>
        <w:t xml:space="preserve"> 2015 (ove disponibili). </w:t>
      </w:r>
    </w:p>
    <w:p w:rsidR="00803D3C" w:rsidRDefault="00803D3C" w:rsidP="00E270E0">
      <w:pPr>
        <w:pStyle w:val="Testonormale2"/>
        <w:spacing w:before="120" w:after="120"/>
        <w:ind w:firstLine="709"/>
        <w:jc w:val="both"/>
        <w:rPr>
          <w:rFonts w:ascii="Calibri" w:hAnsi="Calibri" w:cs="Arial"/>
          <w:b/>
          <w:color w:val="000000"/>
          <w:sz w:val="22"/>
          <w:szCs w:val="22"/>
        </w:rPr>
      </w:pPr>
    </w:p>
    <w:p w:rsidR="00A61ABF" w:rsidRDefault="00A61ABF" w:rsidP="00E270E0">
      <w:pPr>
        <w:pStyle w:val="Testonormale2"/>
        <w:spacing w:before="120" w:after="120"/>
        <w:ind w:firstLine="709"/>
        <w:jc w:val="both"/>
        <w:rPr>
          <w:rFonts w:ascii="Calibri" w:hAnsi="Calibri" w:cs="Arial"/>
          <w:b/>
          <w:color w:val="000000"/>
          <w:sz w:val="22"/>
          <w:szCs w:val="22"/>
        </w:rPr>
      </w:pPr>
    </w:p>
    <w:p w:rsidR="00A61ABF" w:rsidRDefault="00A61ABF" w:rsidP="00E270E0">
      <w:pPr>
        <w:pStyle w:val="Testonormale2"/>
        <w:spacing w:before="120" w:after="120"/>
        <w:ind w:firstLine="709"/>
        <w:jc w:val="both"/>
        <w:rPr>
          <w:rFonts w:ascii="Calibri" w:hAnsi="Calibri" w:cs="Arial"/>
          <w:b/>
          <w:color w:val="000000"/>
          <w:sz w:val="22"/>
          <w:szCs w:val="22"/>
        </w:rPr>
      </w:pPr>
    </w:p>
    <w:p w:rsidR="00E270E0" w:rsidRPr="003C05B6" w:rsidRDefault="00E270E0" w:rsidP="00E270E0">
      <w:pPr>
        <w:pStyle w:val="Testonormale2"/>
        <w:spacing w:before="120" w:after="120"/>
        <w:ind w:firstLine="709"/>
        <w:jc w:val="both"/>
        <w:rPr>
          <w:rFonts w:ascii="Arial" w:hAnsi="Arial" w:cs="Arial"/>
          <w:b/>
          <w:color w:val="000000"/>
          <w:sz w:val="22"/>
          <w:szCs w:val="22"/>
        </w:rPr>
      </w:pPr>
      <w:r w:rsidRPr="003C05B6">
        <w:rPr>
          <w:rFonts w:ascii="Calibri" w:hAnsi="Calibri" w:cs="Arial"/>
          <w:b/>
          <w:color w:val="000000"/>
          <w:sz w:val="22"/>
          <w:szCs w:val="22"/>
        </w:rPr>
        <w:lastRenderedPageBreak/>
        <w:t>Obiettivi Contrattuali Generali</w:t>
      </w:r>
    </w:p>
    <w:tbl>
      <w:tblPr>
        <w:tblStyle w:val="Grigliatabella"/>
        <w:tblW w:w="0" w:type="auto"/>
        <w:tblLook w:val="04A0" w:firstRow="1" w:lastRow="0" w:firstColumn="1" w:lastColumn="0" w:noHBand="0" w:noVBand="1"/>
      </w:tblPr>
      <w:tblGrid>
        <w:gridCol w:w="2763"/>
        <w:gridCol w:w="2872"/>
        <w:gridCol w:w="2363"/>
        <w:gridCol w:w="1630"/>
      </w:tblGrid>
      <w:tr w:rsidR="00E270E0" w:rsidRPr="003C05B6" w:rsidTr="006B06CB">
        <w:trPr>
          <w:cantSplit/>
        </w:trPr>
        <w:tc>
          <w:tcPr>
            <w:tcW w:w="2832" w:type="dxa"/>
          </w:tcPr>
          <w:p w:rsidR="00E270E0" w:rsidRPr="003C05B6" w:rsidRDefault="00E270E0" w:rsidP="006B06CB">
            <w:pPr>
              <w:pStyle w:val="Testonormale2"/>
              <w:jc w:val="center"/>
              <w:rPr>
                <w:rFonts w:ascii="Calibri" w:hAnsi="Calibri" w:cs="Arial"/>
                <w:b/>
                <w:color w:val="000000"/>
                <w:sz w:val="18"/>
                <w:szCs w:val="18"/>
              </w:rPr>
            </w:pPr>
            <w:r w:rsidRPr="003C05B6">
              <w:rPr>
                <w:rFonts w:ascii="Calibri" w:hAnsi="Calibri" w:cs="Arial"/>
                <w:b/>
                <w:color w:val="000000"/>
                <w:sz w:val="18"/>
                <w:szCs w:val="18"/>
              </w:rPr>
              <w:t>Sub-obiettivo</w:t>
            </w:r>
          </w:p>
        </w:tc>
        <w:tc>
          <w:tcPr>
            <w:tcW w:w="2946" w:type="dxa"/>
          </w:tcPr>
          <w:p w:rsidR="00E270E0" w:rsidRPr="003C05B6" w:rsidRDefault="00E270E0" w:rsidP="006B06CB">
            <w:pPr>
              <w:pStyle w:val="Testonormale2"/>
              <w:jc w:val="center"/>
              <w:rPr>
                <w:rFonts w:ascii="Calibri" w:hAnsi="Calibri" w:cs="Arial"/>
                <w:b/>
                <w:color w:val="000000"/>
                <w:sz w:val="18"/>
                <w:szCs w:val="18"/>
              </w:rPr>
            </w:pPr>
            <w:r w:rsidRPr="003C05B6">
              <w:rPr>
                <w:rFonts w:ascii="Calibri" w:hAnsi="Calibri" w:cs="Arial"/>
                <w:b/>
                <w:color w:val="000000"/>
                <w:sz w:val="18"/>
                <w:szCs w:val="18"/>
              </w:rPr>
              <w:t>Punti di attenzione</w:t>
            </w:r>
          </w:p>
        </w:tc>
        <w:tc>
          <w:tcPr>
            <w:tcW w:w="2410" w:type="dxa"/>
          </w:tcPr>
          <w:p w:rsidR="00E270E0" w:rsidRPr="003C05B6" w:rsidRDefault="00E270E0" w:rsidP="006B06CB">
            <w:pPr>
              <w:pStyle w:val="Testonormale2"/>
              <w:jc w:val="center"/>
              <w:rPr>
                <w:rFonts w:ascii="Calibri" w:hAnsi="Calibri" w:cs="Arial"/>
                <w:b/>
                <w:color w:val="000000"/>
                <w:sz w:val="18"/>
                <w:szCs w:val="18"/>
              </w:rPr>
            </w:pPr>
            <w:r w:rsidRPr="003C05B6">
              <w:rPr>
                <w:rFonts w:ascii="Calibri" w:hAnsi="Calibri" w:cs="Arial"/>
                <w:b/>
                <w:color w:val="000000"/>
                <w:sz w:val="18"/>
                <w:szCs w:val="18"/>
              </w:rPr>
              <w:t>Coinvolti</w:t>
            </w:r>
          </w:p>
        </w:tc>
        <w:tc>
          <w:tcPr>
            <w:tcW w:w="1666" w:type="dxa"/>
          </w:tcPr>
          <w:p w:rsidR="00E270E0" w:rsidRPr="003C05B6" w:rsidRDefault="00E270E0" w:rsidP="00803D3C">
            <w:pPr>
              <w:pStyle w:val="Testonormale2"/>
              <w:jc w:val="center"/>
              <w:rPr>
                <w:rFonts w:ascii="Calibri" w:hAnsi="Calibri" w:cs="Arial"/>
                <w:b/>
                <w:color w:val="000000"/>
                <w:sz w:val="18"/>
                <w:szCs w:val="18"/>
              </w:rPr>
            </w:pPr>
            <w:r>
              <w:rPr>
                <w:rFonts w:ascii="Calibri" w:hAnsi="Calibri" w:cs="Arial"/>
                <w:b/>
                <w:color w:val="000000"/>
                <w:sz w:val="18"/>
                <w:szCs w:val="18"/>
              </w:rPr>
              <w:t>Risultato a dicembre 201</w:t>
            </w:r>
            <w:r w:rsidR="00803D3C">
              <w:rPr>
                <w:rFonts w:ascii="Calibri" w:hAnsi="Calibri" w:cs="Arial"/>
                <w:b/>
                <w:color w:val="000000"/>
                <w:sz w:val="18"/>
                <w:szCs w:val="18"/>
              </w:rPr>
              <w:t>5</w:t>
            </w:r>
          </w:p>
        </w:tc>
      </w:tr>
      <w:tr w:rsidR="00E270E0" w:rsidRPr="003C05B6" w:rsidTr="006B06CB">
        <w:trPr>
          <w:cantSplit/>
        </w:trPr>
        <w:tc>
          <w:tcPr>
            <w:tcW w:w="2832" w:type="dxa"/>
          </w:tcPr>
          <w:p w:rsidR="00E270E0" w:rsidRPr="003C05B6" w:rsidRDefault="00E270E0" w:rsidP="006B06CB">
            <w:pPr>
              <w:pStyle w:val="Testonormale2"/>
              <w:rPr>
                <w:rFonts w:ascii="Calibri" w:hAnsi="Calibri" w:cs="Arial"/>
                <w:color w:val="000000"/>
                <w:sz w:val="18"/>
                <w:szCs w:val="18"/>
              </w:rPr>
            </w:pPr>
            <w:r w:rsidRPr="003C05B6">
              <w:rPr>
                <w:rFonts w:ascii="Calibri" w:hAnsi="Calibri" w:cs="Arial"/>
                <w:color w:val="000000"/>
                <w:sz w:val="18"/>
                <w:szCs w:val="18"/>
              </w:rPr>
              <w:t>Equilibrio di Bilancio</w:t>
            </w:r>
          </w:p>
          <w:p w:rsidR="00E270E0" w:rsidRPr="003C05B6" w:rsidRDefault="00E270E0" w:rsidP="006B06CB">
            <w:pPr>
              <w:pStyle w:val="Testonormale2"/>
              <w:rPr>
                <w:rFonts w:ascii="Calibri" w:hAnsi="Calibri" w:cs="Arial"/>
                <w:color w:val="000000"/>
                <w:sz w:val="18"/>
                <w:szCs w:val="18"/>
              </w:rPr>
            </w:pPr>
            <w:r w:rsidRPr="003C05B6">
              <w:rPr>
                <w:rFonts w:ascii="Calibri" w:hAnsi="Calibri" w:cs="Arial"/>
                <w:color w:val="000000"/>
                <w:sz w:val="18"/>
                <w:szCs w:val="18"/>
              </w:rPr>
              <w:t>(Raggiungimento annuale equilibrio economico di bilancio)</w:t>
            </w:r>
          </w:p>
        </w:tc>
        <w:tc>
          <w:tcPr>
            <w:tcW w:w="2946" w:type="dxa"/>
          </w:tcPr>
          <w:p w:rsidR="00E270E0" w:rsidRPr="003C05B6" w:rsidRDefault="00E270E0" w:rsidP="006B06CB">
            <w:pPr>
              <w:pStyle w:val="Testonormale2"/>
              <w:rPr>
                <w:rFonts w:ascii="Calibri" w:hAnsi="Calibri" w:cs="Arial"/>
                <w:color w:val="000000"/>
                <w:sz w:val="18"/>
                <w:szCs w:val="18"/>
              </w:rPr>
            </w:pPr>
          </w:p>
        </w:tc>
        <w:tc>
          <w:tcPr>
            <w:tcW w:w="2410" w:type="dxa"/>
          </w:tcPr>
          <w:p w:rsidR="00E270E0" w:rsidRPr="003C05B6" w:rsidRDefault="00E270E0" w:rsidP="006B06CB">
            <w:pPr>
              <w:pStyle w:val="Testonormale2"/>
              <w:jc w:val="both"/>
              <w:rPr>
                <w:rFonts w:ascii="Calibri" w:hAnsi="Calibri" w:cs="Arial"/>
                <w:color w:val="000000"/>
                <w:sz w:val="18"/>
                <w:szCs w:val="18"/>
              </w:rPr>
            </w:pPr>
            <w:r w:rsidRPr="003C05B6">
              <w:rPr>
                <w:rFonts w:ascii="Calibri" w:hAnsi="Calibri" w:cs="Arial"/>
                <w:color w:val="000000"/>
                <w:sz w:val="18"/>
                <w:szCs w:val="18"/>
              </w:rPr>
              <w:t>Direzione Amministrativa</w:t>
            </w:r>
          </w:p>
          <w:p w:rsidR="00E270E0" w:rsidRPr="003C05B6" w:rsidRDefault="00E270E0" w:rsidP="006B06CB">
            <w:pPr>
              <w:pStyle w:val="Testonormale2"/>
              <w:jc w:val="both"/>
              <w:rPr>
                <w:rFonts w:ascii="Calibri" w:hAnsi="Calibri" w:cs="Arial"/>
                <w:color w:val="000000"/>
                <w:sz w:val="18"/>
                <w:szCs w:val="18"/>
              </w:rPr>
            </w:pPr>
            <w:r w:rsidRPr="003C05B6">
              <w:rPr>
                <w:rFonts w:ascii="Calibri" w:hAnsi="Calibri" w:cs="Arial"/>
                <w:color w:val="000000"/>
                <w:sz w:val="18"/>
                <w:szCs w:val="18"/>
              </w:rPr>
              <w:t>Aree Amministrative</w:t>
            </w:r>
          </w:p>
          <w:p w:rsidR="00E270E0" w:rsidRPr="003C05B6" w:rsidRDefault="00E270E0" w:rsidP="006B06CB">
            <w:pPr>
              <w:pStyle w:val="Testonormale2"/>
              <w:jc w:val="both"/>
              <w:rPr>
                <w:rFonts w:ascii="Calibri" w:hAnsi="Calibri" w:cs="Arial"/>
                <w:color w:val="000000"/>
                <w:sz w:val="18"/>
                <w:szCs w:val="18"/>
              </w:rPr>
            </w:pPr>
            <w:r w:rsidRPr="003C05B6">
              <w:rPr>
                <w:rFonts w:ascii="Calibri" w:hAnsi="Calibri" w:cs="Arial"/>
                <w:color w:val="000000"/>
                <w:sz w:val="18"/>
                <w:szCs w:val="18"/>
              </w:rPr>
              <w:t>Programmazione e Controllo</w:t>
            </w:r>
          </w:p>
        </w:tc>
        <w:tc>
          <w:tcPr>
            <w:tcW w:w="1666" w:type="dxa"/>
          </w:tcPr>
          <w:p w:rsidR="00E270E0" w:rsidRDefault="00E270E0" w:rsidP="006B06CB">
            <w:pPr>
              <w:pStyle w:val="Testonormale2"/>
              <w:jc w:val="center"/>
              <w:rPr>
                <w:rFonts w:ascii="Calibri" w:hAnsi="Calibri" w:cs="Arial"/>
                <w:color w:val="000000"/>
                <w:sz w:val="18"/>
                <w:szCs w:val="18"/>
              </w:rPr>
            </w:pPr>
            <w:r>
              <w:rPr>
                <w:rFonts w:ascii="Calibri" w:hAnsi="Calibri" w:cs="Arial"/>
                <w:color w:val="000000"/>
                <w:sz w:val="18"/>
                <w:szCs w:val="18"/>
              </w:rPr>
              <w:t>Raggiunto</w:t>
            </w:r>
          </w:p>
          <w:p w:rsidR="00E270E0" w:rsidRPr="003C05B6" w:rsidRDefault="00E270E0" w:rsidP="006B06CB">
            <w:pPr>
              <w:pStyle w:val="Testonormale2"/>
              <w:jc w:val="both"/>
              <w:rPr>
                <w:rFonts w:ascii="Calibri" w:hAnsi="Calibri" w:cs="Arial"/>
                <w:color w:val="000000"/>
                <w:sz w:val="18"/>
                <w:szCs w:val="18"/>
              </w:rPr>
            </w:pPr>
          </w:p>
        </w:tc>
      </w:tr>
      <w:tr w:rsidR="00E270E0" w:rsidRPr="003C05B6" w:rsidTr="006B06CB">
        <w:trPr>
          <w:cantSplit/>
        </w:trPr>
        <w:tc>
          <w:tcPr>
            <w:tcW w:w="2832" w:type="dxa"/>
          </w:tcPr>
          <w:p w:rsidR="00E270E0" w:rsidRPr="003C05B6" w:rsidRDefault="00E270E0" w:rsidP="006B06CB">
            <w:pPr>
              <w:pStyle w:val="Testonormale2"/>
              <w:rPr>
                <w:rFonts w:ascii="Calibri" w:hAnsi="Calibri" w:cs="Arial"/>
                <w:color w:val="000000"/>
                <w:sz w:val="18"/>
                <w:szCs w:val="18"/>
              </w:rPr>
            </w:pPr>
            <w:r w:rsidRPr="003C05B6">
              <w:rPr>
                <w:rFonts w:ascii="Calibri" w:hAnsi="Calibri" w:cs="Arial"/>
                <w:color w:val="000000"/>
                <w:sz w:val="18"/>
                <w:szCs w:val="18"/>
              </w:rPr>
              <w:t>Fondi PO-FESR</w:t>
            </w:r>
          </w:p>
          <w:p w:rsidR="00E270E0" w:rsidRPr="003C05B6" w:rsidRDefault="00E270E0" w:rsidP="006B06CB">
            <w:pPr>
              <w:pStyle w:val="Testonormale2"/>
              <w:rPr>
                <w:rFonts w:ascii="Calibri" w:hAnsi="Calibri" w:cs="Arial"/>
                <w:color w:val="000000"/>
                <w:sz w:val="18"/>
                <w:szCs w:val="18"/>
              </w:rPr>
            </w:pPr>
            <w:r w:rsidRPr="003C05B6">
              <w:rPr>
                <w:rFonts w:ascii="Calibri" w:hAnsi="Calibri" w:cs="Arial"/>
                <w:color w:val="000000"/>
                <w:sz w:val="18"/>
                <w:szCs w:val="18"/>
              </w:rPr>
              <w:t>(Utilizzo risorse fondi europei secondo target annualmente assegnato all’Azienda)</w:t>
            </w:r>
          </w:p>
        </w:tc>
        <w:tc>
          <w:tcPr>
            <w:tcW w:w="2946" w:type="dxa"/>
          </w:tcPr>
          <w:p w:rsidR="00E270E0" w:rsidRPr="003C05B6" w:rsidRDefault="00E270E0" w:rsidP="006B06CB">
            <w:pPr>
              <w:pStyle w:val="Testonormale2"/>
              <w:rPr>
                <w:rFonts w:ascii="Calibri" w:hAnsi="Calibri" w:cs="Arial"/>
                <w:color w:val="000000"/>
                <w:sz w:val="18"/>
                <w:szCs w:val="18"/>
              </w:rPr>
            </w:pPr>
          </w:p>
        </w:tc>
        <w:tc>
          <w:tcPr>
            <w:tcW w:w="2410" w:type="dxa"/>
          </w:tcPr>
          <w:p w:rsidR="00E270E0" w:rsidRPr="003C05B6" w:rsidRDefault="00E270E0" w:rsidP="006B06CB">
            <w:pPr>
              <w:pStyle w:val="Testonormale2"/>
              <w:jc w:val="both"/>
              <w:rPr>
                <w:rFonts w:ascii="Calibri" w:hAnsi="Calibri" w:cs="Arial"/>
                <w:color w:val="000000"/>
                <w:sz w:val="18"/>
                <w:szCs w:val="18"/>
              </w:rPr>
            </w:pPr>
            <w:r w:rsidRPr="003C05B6">
              <w:rPr>
                <w:rFonts w:ascii="Calibri" w:hAnsi="Calibri" w:cs="Arial"/>
                <w:color w:val="000000"/>
                <w:sz w:val="18"/>
                <w:szCs w:val="18"/>
              </w:rPr>
              <w:t>Direzione Amministrativa</w:t>
            </w:r>
          </w:p>
          <w:p w:rsidR="00E270E0" w:rsidRPr="003C05B6" w:rsidRDefault="00E270E0" w:rsidP="006B06CB">
            <w:pPr>
              <w:pStyle w:val="Testonormale2"/>
              <w:jc w:val="both"/>
              <w:rPr>
                <w:rFonts w:ascii="Calibri" w:hAnsi="Calibri" w:cs="Arial"/>
                <w:color w:val="000000"/>
                <w:sz w:val="18"/>
                <w:szCs w:val="18"/>
              </w:rPr>
            </w:pPr>
            <w:r w:rsidRPr="003C05B6">
              <w:rPr>
                <w:rFonts w:ascii="Calibri" w:hAnsi="Calibri" w:cs="Arial"/>
                <w:color w:val="000000"/>
                <w:sz w:val="18"/>
                <w:szCs w:val="18"/>
              </w:rPr>
              <w:t>Area Economico-Finanziaria</w:t>
            </w:r>
          </w:p>
          <w:p w:rsidR="00E270E0" w:rsidRPr="003C05B6" w:rsidRDefault="00E270E0" w:rsidP="006B06CB">
            <w:pPr>
              <w:pStyle w:val="Testonormale2"/>
              <w:jc w:val="both"/>
              <w:rPr>
                <w:rFonts w:ascii="Calibri" w:hAnsi="Calibri" w:cs="Arial"/>
                <w:color w:val="000000"/>
                <w:sz w:val="18"/>
                <w:szCs w:val="18"/>
              </w:rPr>
            </w:pPr>
            <w:r w:rsidRPr="003C05B6">
              <w:rPr>
                <w:rFonts w:ascii="Calibri" w:hAnsi="Calibri" w:cs="Arial"/>
                <w:color w:val="000000"/>
                <w:sz w:val="18"/>
                <w:szCs w:val="18"/>
              </w:rPr>
              <w:t>Area Tecnica</w:t>
            </w:r>
          </w:p>
          <w:p w:rsidR="00E270E0" w:rsidRPr="003C05B6" w:rsidRDefault="00E270E0" w:rsidP="006B06CB">
            <w:pPr>
              <w:pStyle w:val="Testonormale2"/>
              <w:jc w:val="both"/>
              <w:rPr>
                <w:rFonts w:ascii="Calibri" w:hAnsi="Calibri" w:cs="Arial"/>
                <w:color w:val="000000"/>
                <w:sz w:val="18"/>
                <w:szCs w:val="18"/>
              </w:rPr>
            </w:pPr>
            <w:r w:rsidRPr="003C05B6">
              <w:rPr>
                <w:rFonts w:ascii="Calibri" w:hAnsi="Calibri" w:cs="Arial"/>
                <w:color w:val="000000"/>
                <w:sz w:val="18"/>
                <w:szCs w:val="18"/>
              </w:rPr>
              <w:t>Area Provveditorato</w:t>
            </w:r>
          </w:p>
        </w:tc>
        <w:tc>
          <w:tcPr>
            <w:tcW w:w="1666" w:type="dxa"/>
          </w:tcPr>
          <w:p w:rsidR="00E270E0" w:rsidRDefault="00E270E0" w:rsidP="006B06CB">
            <w:pPr>
              <w:pStyle w:val="Testonormale2"/>
              <w:jc w:val="center"/>
              <w:rPr>
                <w:rFonts w:ascii="Calibri" w:hAnsi="Calibri" w:cs="Arial"/>
                <w:color w:val="000000"/>
                <w:sz w:val="18"/>
                <w:szCs w:val="18"/>
              </w:rPr>
            </w:pPr>
            <w:r>
              <w:rPr>
                <w:rFonts w:ascii="Calibri" w:hAnsi="Calibri" w:cs="Arial"/>
                <w:color w:val="000000"/>
                <w:sz w:val="18"/>
                <w:szCs w:val="18"/>
              </w:rPr>
              <w:t>Raggiunto</w:t>
            </w:r>
          </w:p>
          <w:p w:rsidR="00E270E0" w:rsidRPr="003C05B6" w:rsidRDefault="00E270E0" w:rsidP="006B06CB">
            <w:pPr>
              <w:pStyle w:val="Testonormale2"/>
              <w:jc w:val="both"/>
              <w:rPr>
                <w:rFonts w:ascii="Calibri" w:hAnsi="Calibri" w:cs="Arial"/>
                <w:color w:val="000000"/>
                <w:sz w:val="18"/>
                <w:szCs w:val="18"/>
              </w:rPr>
            </w:pPr>
          </w:p>
        </w:tc>
      </w:tr>
      <w:tr w:rsidR="00E270E0" w:rsidRPr="003C05B6" w:rsidTr="006B06CB">
        <w:trPr>
          <w:cantSplit/>
        </w:trPr>
        <w:tc>
          <w:tcPr>
            <w:tcW w:w="2832" w:type="dxa"/>
            <w:vMerge w:val="restart"/>
            <w:vAlign w:val="center"/>
          </w:tcPr>
          <w:p w:rsidR="00E270E0" w:rsidRPr="00AA7AAB"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Contenimento spesa</w:t>
            </w:r>
          </w:p>
          <w:p w:rsidR="00E270E0" w:rsidRPr="003C05B6"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(Contenimento spesa per beni, servizi e personale)</w:t>
            </w:r>
          </w:p>
        </w:tc>
        <w:tc>
          <w:tcPr>
            <w:tcW w:w="2946" w:type="dxa"/>
          </w:tcPr>
          <w:p w:rsidR="00E270E0" w:rsidRPr="00AA7AAB"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Personale:</w:t>
            </w:r>
          </w:p>
          <w:p w:rsidR="00E270E0" w:rsidRPr="00AA7AAB"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 Rispetto tetto annuale ex L. 135/12</w:t>
            </w:r>
          </w:p>
          <w:p w:rsidR="00E270E0" w:rsidRPr="003C05B6"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 Programma triennale riduzione spesa x personale a t.d.</w:t>
            </w:r>
          </w:p>
        </w:tc>
        <w:tc>
          <w:tcPr>
            <w:tcW w:w="2410" w:type="dxa"/>
          </w:tcPr>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Direzione Amministrativa</w:t>
            </w:r>
          </w:p>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Area Risorse Umane</w:t>
            </w:r>
          </w:p>
          <w:p w:rsidR="00E270E0" w:rsidRPr="003C05B6"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Area Economico-Finanziaria</w:t>
            </w:r>
          </w:p>
        </w:tc>
        <w:tc>
          <w:tcPr>
            <w:tcW w:w="1666" w:type="dxa"/>
          </w:tcPr>
          <w:p w:rsidR="00E270E0" w:rsidRPr="003C05B6" w:rsidRDefault="00E270E0" w:rsidP="006B06CB">
            <w:pPr>
              <w:pStyle w:val="Testonormale2"/>
              <w:jc w:val="both"/>
              <w:rPr>
                <w:rFonts w:ascii="Calibri" w:hAnsi="Calibri" w:cs="Arial"/>
                <w:color w:val="000000"/>
                <w:sz w:val="18"/>
                <w:szCs w:val="18"/>
              </w:rPr>
            </w:pPr>
          </w:p>
        </w:tc>
      </w:tr>
      <w:tr w:rsidR="00E270E0" w:rsidRPr="003C05B6" w:rsidTr="006B06CB">
        <w:trPr>
          <w:cantSplit/>
        </w:trPr>
        <w:tc>
          <w:tcPr>
            <w:tcW w:w="2832" w:type="dxa"/>
            <w:vMerge/>
          </w:tcPr>
          <w:p w:rsidR="00E270E0" w:rsidRPr="003C05B6" w:rsidRDefault="00E270E0" w:rsidP="006B06CB">
            <w:pPr>
              <w:pStyle w:val="Testonormale2"/>
              <w:jc w:val="both"/>
              <w:rPr>
                <w:rFonts w:ascii="Calibri" w:hAnsi="Calibri" w:cs="Arial"/>
                <w:color w:val="000000"/>
                <w:sz w:val="18"/>
                <w:szCs w:val="18"/>
              </w:rPr>
            </w:pPr>
          </w:p>
        </w:tc>
        <w:tc>
          <w:tcPr>
            <w:tcW w:w="2946" w:type="dxa"/>
          </w:tcPr>
          <w:p w:rsidR="00E270E0" w:rsidRPr="00AA7AAB"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Beni e Servizi:</w:t>
            </w:r>
          </w:p>
          <w:p w:rsidR="00E270E0" w:rsidRPr="003C05B6"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Rispetto normativa vigente e RAE</w:t>
            </w:r>
          </w:p>
        </w:tc>
        <w:tc>
          <w:tcPr>
            <w:tcW w:w="2410" w:type="dxa"/>
          </w:tcPr>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Direzione Amministrativa</w:t>
            </w:r>
          </w:p>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Area Economico-Finanziaria</w:t>
            </w:r>
          </w:p>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Area Tecnica</w:t>
            </w:r>
          </w:p>
          <w:p w:rsidR="00E270E0" w:rsidRPr="003C05B6"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Area Provveditorato</w:t>
            </w:r>
          </w:p>
        </w:tc>
        <w:tc>
          <w:tcPr>
            <w:tcW w:w="1666" w:type="dxa"/>
          </w:tcPr>
          <w:p w:rsidR="00E270E0" w:rsidRDefault="00E270E0" w:rsidP="006B06CB">
            <w:pPr>
              <w:pStyle w:val="Testonormale2"/>
              <w:jc w:val="center"/>
              <w:rPr>
                <w:rFonts w:ascii="Calibri" w:hAnsi="Calibri" w:cs="Arial"/>
                <w:color w:val="000000"/>
                <w:sz w:val="18"/>
                <w:szCs w:val="18"/>
              </w:rPr>
            </w:pPr>
            <w:r>
              <w:rPr>
                <w:rFonts w:ascii="Calibri" w:hAnsi="Calibri" w:cs="Arial"/>
                <w:color w:val="000000"/>
                <w:sz w:val="18"/>
                <w:szCs w:val="18"/>
              </w:rPr>
              <w:t>Raggiunto</w:t>
            </w:r>
          </w:p>
          <w:p w:rsidR="00E270E0" w:rsidRPr="003C05B6" w:rsidRDefault="00E270E0" w:rsidP="006B06CB">
            <w:pPr>
              <w:pStyle w:val="Testonormale2"/>
              <w:jc w:val="both"/>
              <w:rPr>
                <w:rFonts w:ascii="Calibri" w:hAnsi="Calibri" w:cs="Arial"/>
                <w:color w:val="000000"/>
                <w:sz w:val="18"/>
                <w:szCs w:val="18"/>
              </w:rPr>
            </w:pPr>
          </w:p>
        </w:tc>
      </w:tr>
      <w:tr w:rsidR="00E270E0" w:rsidRPr="003C05B6" w:rsidTr="006B06CB">
        <w:trPr>
          <w:cantSplit/>
        </w:trPr>
        <w:tc>
          <w:tcPr>
            <w:tcW w:w="2832" w:type="dxa"/>
            <w:vMerge/>
          </w:tcPr>
          <w:p w:rsidR="00E270E0" w:rsidRPr="003C05B6" w:rsidRDefault="00E270E0" w:rsidP="006B06CB">
            <w:pPr>
              <w:pStyle w:val="Testonormale2"/>
              <w:jc w:val="both"/>
              <w:rPr>
                <w:rFonts w:ascii="Calibri" w:hAnsi="Calibri" w:cs="Arial"/>
                <w:color w:val="000000"/>
                <w:sz w:val="18"/>
                <w:szCs w:val="18"/>
              </w:rPr>
            </w:pPr>
          </w:p>
        </w:tc>
        <w:tc>
          <w:tcPr>
            <w:tcW w:w="2946" w:type="dxa"/>
          </w:tcPr>
          <w:p w:rsidR="00E270E0" w:rsidRPr="00AA7AAB"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Rispetto tetti di spesa:</w:t>
            </w:r>
          </w:p>
          <w:p w:rsidR="00E270E0" w:rsidRPr="003C05B6"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Secondo normativa nazionale, regionale o assessoriale</w:t>
            </w:r>
          </w:p>
        </w:tc>
        <w:tc>
          <w:tcPr>
            <w:tcW w:w="2410" w:type="dxa"/>
          </w:tcPr>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Direzione Amministrativa</w:t>
            </w:r>
          </w:p>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Aree Amministrative</w:t>
            </w:r>
          </w:p>
          <w:p w:rsidR="00E270E0" w:rsidRPr="003C05B6"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Dpt Assistenziali</w:t>
            </w:r>
          </w:p>
        </w:tc>
        <w:tc>
          <w:tcPr>
            <w:tcW w:w="1666" w:type="dxa"/>
          </w:tcPr>
          <w:p w:rsidR="00E270E0" w:rsidRPr="003C05B6" w:rsidRDefault="00E270E0" w:rsidP="006B06CB">
            <w:pPr>
              <w:pStyle w:val="Testonormale2"/>
              <w:jc w:val="both"/>
              <w:rPr>
                <w:rFonts w:ascii="Calibri" w:hAnsi="Calibri" w:cs="Arial"/>
                <w:color w:val="000000"/>
                <w:sz w:val="18"/>
                <w:szCs w:val="18"/>
              </w:rPr>
            </w:pPr>
          </w:p>
        </w:tc>
      </w:tr>
      <w:tr w:rsidR="00E270E0" w:rsidRPr="003C05B6" w:rsidTr="006B06CB">
        <w:trPr>
          <w:cantSplit/>
        </w:trPr>
        <w:tc>
          <w:tcPr>
            <w:tcW w:w="2832" w:type="dxa"/>
            <w:vMerge/>
          </w:tcPr>
          <w:p w:rsidR="00E270E0" w:rsidRPr="003C05B6" w:rsidRDefault="00E270E0" w:rsidP="006B06CB">
            <w:pPr>
              <w:pStyle w:val="Testonormale2"/>
              <w:jc w:val="both"/>
              <w:rPr>
                <w:rFonts w:ascii="Calibri" w:hAnsi="Calibri" w:cs="Arial"/>
                <w:color w:val="000000"/>
                <w:sz w:val="18"/>
                <w:szCs w:val="18"/>
              </w:rPr>
            </w:pPr>
          </w:p>
        </w:tc>
        <w:tc>
          <w:tcPr>
            <w:tcW w:w="2946" w:type="dxa"/>
          </w:tcPr>
          <w:p w:rsidR="00E270E0" w:rsidRPr="00AA7AAB"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Farmaceutica Ospedaliera:</w:t>
            </w:r>
          </w:p>
          <w:p w:rsidR="00E270E0" w:rsidRPr="003C05B6" w:rsidRDefault="00E270E0" w:rsidP="006B06CB">
            <w:pPr>
              <w:pStyle w:val="Testonormale2"/>
              <w:rPr>
                <w:rFonts w:ascii="Calibri" w:hAnsi="Calibri" w:cs="Arial"/>
                <w:color w:val="000000"/>
                <w:sz w:val="18"/>
                <w:szCs w:val="18"/>
              </w:rPr>
            </w:pPr>
            <w:r w:rsidRPr="00AA7AAB">
              <w:rPr>
                <w:rFonts w:ascii="Calibri" w:hAnsi="Calibri" w:cs="Arial"/>
                <w:color w:val="000000"/>
                <w:sz w:val="18"/>
                <w:szCs w:val="18"/>
              </w:rPr>
              <w:t>Rispetto delle risorse negoziate annualmente per ciascuno dei 3 anni</w:t>
            </w:r>
          </w:p>
        </w:tc>
        <w:tc>
          <w:tcPr>
            <w:tcW w:w="2410" w:type="dxa"/>
          </w:tcPr>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Direzione Amministrativa</w:t>
            </w:r>
          </w:p>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Aree Amministrative</w:t>
            </w:r>
          </w:p>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Farmacia</w:t>
            </w:r>
          </w:p>
          <w:p w:rsidR="00E270E0" w:rsidRPr="003C05B6"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Dpt Assistenziali</w:t>
            </w:r>
          </w:p>
        </w:tc>
        <w:tc>
          <w:tcPr>
            <w:tcW w:w="1666" w:type="dxa"/>
          </w:tcPr>
          <w:p w:rsidR="00E270E0" w:rsidRPr="003C05B6" w:rsidRDefault="00E270E0" w:rsidP="006B06CB">
            <w:pPr>
              <w:pStyle w:val="Testonormale2"/>
              <w:jc w:val="both"/>
              <w:rPr>
                <w:rFonts w:ascii="Calibri" w:hAnsi="Calibri" w:cs="Arial"/>
                <w:color w:val="000000"/>
                <w:sz w:val="18"/>
                <w:szCs w:val="18"/>
              </w:rPr>
            </w:pPr>
          </w:p>
        </w:tc>
      </w:tr>
      <w:tr w:rsidR="00E270E0" w:rsidRPr="003C05B6" w:rsidTr="006B06CB">
        <w:trPr>
          <w:cantSplit/>
        </w:trPr>
        <w:tc>
          <w:tcPr>
            <w:tcW w:w="2832" w:type="dxa"/>
          </w:tcPr>
          <w:p w:rsidR="00E270E0" w:rsidRPr="003C05B6" w:rsidRDefault="00E270E0" w:rsidP="006B06CB">
            <w:pPr>
              <w:pStyle w:val="Testonormale2"/>
              <w:rPr>
                <w:rFonts w:ascii="Calibri" w:hAnsi="Calibri" w:cs="Arial"/>
                <w:color w:val="000000"/>
                <w:sz w:val="18"/>
                <w:szCs w:val="18"/>
              </w:rPr>
            </w:pPr>
            <w:r w:rsidRPr="00DB6B78">
              <w:rPr>
                <w:rFonts w:ascii="Calibri" w:hAnsi="Calibri" w:cs="Arial"/>
                <w:color w:val="000000"/>
                <w:sz w:val="18"/>
                <w:szCs w:val="18"/>
              </w:rPr>
              <w:t>Direttiva Flussi informativi e s.m.i. (Rispetto direttiva “flussi informativi” decreto 1174/08 del 30.05.2008 e s.m.i.) + nuovi flussi</w:t>
            </w:r>
          </w:p>
        </w:tc>
        <w:tc>
          <w:tcPr>
            <w:tcW w:w="2946" w:type="dxa"/>
          </w:tcPr>
          <w:p w:rsidR="00E270E0" w:rsidRPr="00DB6B78" w:rsidRDefault="00E270E0" w:rsidP="006B06CB">
            <w:pPr>
              <w:pStyle w:val="Testonormale2"/>
              <w:rPr>
                <w:rFonts w:ascii="Calibri" w:hAnsi="Calibri" w:cs="Arial"/>
                <w:color w:val="000000"/>
                <w:sz w:val="18"/>
                <w:szCs w:val="18"/>
              </w:rPr>
            </w:pPr>
            <w:r w:rsidRPr="00DB6B78">
              <w:rPr>
                <w:rFonts w:ascii="Calibri" w:hAnsi="Calibri" w:cs="Arial"/>
                <w:color w:val="000000"/>
                <w:sz w:val="18"/>
                <w:szCs w:val="18"/>
              </w:rPr>
              <w:t>Rispetto tempi di trasmissione</w:t>
            </w:r>
          </w:p>
          <w:p w:rsidR="00E270E0" w:rsidRPr="003C05B6" w:rsidRDefault="00E270E0" w:rsidP="006B06CB">
            <w:pPr>
              <w:pStyle w:val="Testonormale2"/>
              <w:rPr>
                <w:rFonts w:ascii="Calibri" w:hAnsi="Calibri" w:cs="Arial"/>
                <w:color w:val="000000"/>
                <w:sz w:val="18"/>
                <w:szCs w:val="18"/>
              </w:rPr>
            </w:pPr>
            <w:r w:rsidRPr="00DB6B78">
              <w:rPr>
                <w:rFonts w:ascii="Calibri" w:hAnsi="Calibri" w:cs="Arial"/>
                <w:color w:val="000000"/>
                <w:sz w:val="18"/>
                <w:szCs w:val="18"/>
              </w:rPr>
              <w:t>Congruità e qualità flussi con scarti           ≤ 1% record trasmessi</w:t>
            </w:r>
          </w:p>
        </w:tc>
        <w:tc>
          <w:tcPr>
            <w:tcW w:w="2410" w:type="dxa"/>
          </w:tcPr>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Direzione Amministrativa</w:t>
            </w:r>
          </w:p>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Aree Amministrative</w:t>
            </w:r>
          </w:p>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 xml:space="preserve">Programmazione e Controllo </w:t>
            </w:r>
          </w:p>
          <w:p w:rsidR="00E270E0" w:rsidRPr="00DB6B78"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Pronto Soccorso</w:t>
            </w:r>
          </w:p>
          <w:p w:rsidR="00E270E0" w:rsidRPr="003C05B6" w:rsidRDefault="00E270E0" w:rsidP="006B06CB">
            <w:pPr>
              <w:pStyle w:val="Testonormale2"/>
              <w:jc w:val="both"/>
              <w:rPr>
                <w:rFonts w:ascii="Calibri" w:hAnsi="Calibri" w:cs="Arial"/>
                <w:color w:val="000000"/>
                <w:sz w:val="18"/>
                <w:szCs w:val="18"/>
              </w:rPr>
            </w:pPr>
            <w:r w:rsidRPr="00DB6B78">
              <w:rPr>
                <w:rFonts w:ascii="Calibri" w:hAnsi="Calibri" w:cs="Arial"/>
                <w:color w:val="000000"/>
                <w:sz w:val="18"/>
                <w:szCs w:val="18"/>
              </w:rPr>
              <w:t>Responsabili dei flussi</w:t>
            </w:r>
          </w:p>
        </w:tc>
        <w:tc>
          <w:tcPr>
            <w:tcW w:w="1666" w:type="dxa"/>
          </w:tcPr>
          <w:p w:rsidR="00E270E0" w:rsidRPr="003C05B6" w:rsidRDefault="00E270E0" w:rsidP="00593EFB">
            <w:pPr>
              <w:pStyle w:val="Testonormale2"/>
              <w:jc w:val="center"/>
              <w:rPr>
                <w:rFonts w:ascii="Calibri" w:hAnsi="Calibri" w:cs="Arial"/>
                <w:color w:val="000000"/>
                <w:sz w:val="18"/>
                <w:szCs w:val="18"/>
              </w:rPr>
            </w:pPr>
            <w:r>
              <w:rPr>
                <w:rFonts w:ascii="Calibri" w:hAnsi="Calibri" w:cs="Arial"/>
                <w:color w:val="000000"/>
                <w:sz w:val="18"/>
                <w:szCs w:val="18"/>
              </w:rPr>
              <w:t>Raggiunto</w:t>
            </w:r>
          </w:p>
        </w:tc>
      </w:tr>
      <w:tr w:rsidR="00E270E0" w:rsidRPr="003C05B6" w:rsidTr="006B06CB">
        <w:trPr>
          <w:cantSplit/>
        </w:trPr>
        <w:tc>
          <w:tcPr>
            <w:tcW w:w="2832" w:type="dxa"/>
          </w:tcPr>
          <w:p w:rsidR="00E270E0" w:rsidRPr="004B0E8B" w:rsidRDefault="00E270E0" w:rsidP="006B06CB">
            <w:pPr>
              <w:pStyle w:val="Testonormale2"/>
              <w:jc w:val="both"/>
              <w:rPr>
                <w:rFonts w:ascii="Calibri" w:hAnsi="Calibri" w:cs="Arial"/>
                <w:color w:val="000000"/>
                <w:sz w:val="18"/>
                <w:szCs w:val="18"/>
              </w:rPr>
            </w:pPr>
            <w:r w:rsidRPr="004B0E8B">
              <w:rPr>
                <w:rFonts w:ascii="Calibri" w:hAnsi="Calibri" w:cs="Arial"/>
                <w:color w:val="000000"/>
                <w:sz w:val="18"/>
                <w:szCs w:val="18"/>
              </w:rPr>
              <w:t>Osservanza disposizioni ALPI</w:t>
            </w:r>
          </w:p>
          <w:p w:rsidR="00E270E0" w:rsidRPr="003C05B6" w:rsidRDefault="00E270E0" w:rsidP="006B06CB">
            <w:pPr>
              <w:pStyle w:val="Testonormale2"/>
              <w:jc w:val="both"/>
              <w:rPr>
                <w:rFonts w:ascii="Calibri" w:hAnsi="Calibri" w:cs="Arial"/>
                <w:color w:val="000000"/>
                <w:sz w:val="18"/>
                <w:szCs w:val="18"/>
              </w:rPr>
            </w:pPr>
            <w:r w:rsidRPr="004B0E8B">
              <w:rPr>
                <w:rFonts w:ascii="Calibri" w:hAnsi="Calibri" w:cs="Arial"/>
                <w:color w:val="000000"/>
                <w:sz w:val="18"/>
                <w:szCs w:val="18"/>
              </w:rPr>
              <w:t>(Osservanza L. 120/07 e s.m.i.)</w:t>
            </w:r>
          </w:p>
        </w:tc>
        <w:tc>
          <w:tcPr>
            <w:tcW w:w="2946" w:type="dxa"/>
          </w:tcPr>
          <w:p w:rsidR="00E270E0" w:rsidRPr="003C05B6" w:rsidRDefault="00E270E0" w:rsidP="006B06CB">
            <w:pPr>
              <w:pStyle w:val="Testonormale2"/>
              <w:rPr>
                <w:rFonts w:ascii="Calibri" w:hAnsi="Calibri" w:cs="Arial"/>
                <w:color w:val="000000"/>
                <w:sz w:val="18"/>
                <w:szCs w:val="18"/>
              </w:rPr>
            </w:pPr>
            <w:r w:rsidRPr="004B0E8B">
              <w:rPr>
                <w:rFonts w:ascii="Calibri" w:hAnsi="Calibri" w:cs="Arial"/>
                <w:color w:val="000000"/>
                <w:sz w:val="18"/>
                <w:szCs w:val="18"/>
              </w:rPr>
              <w:t>Programmazione ALPI 2015 con bilancio di previsione entro 15.12.2014</w:t>
            </w:r>
          </w:p>
        </w:tc>
        <w:tc>
          <w:tcPr>
            <w:tcW w:w="2410" w:type="dxa"/>
          </w:tcPr>
          <w:p w:rsidR="00E270E0" w:rsidRPr="004B0E8B" w:rsidRDefault="00E270E0" w:rsidP="006B06CB">
            <w:pPr>
              <w:pStyle w:val="Testonormale2"/>
              <w:jc w:val="both"/>
              <w:rPr>
                <w:rFonts w:ascii="Calibri" w:hAnsi="Calibri" w:cs="Arial"/>
                <w:color w:val="000000"/>
                <w:sz w:val="18"/>
                <w:szCs w:val="18"/>
              </w:rPr>
            </w:pPr>
            <w:r w:rsidRPr="004B0E8B">
              <w:rPr>
                <w:rFonts w:ascii="Calibri" w:hAnsi="Calibri" w:cs="Arial"/>
                <w:color w:val="000000"/>
                <w:sz w:val="18"/>
                <w:szCs w:val="18"/>
              </w:rPr>
              <w:t>Direzione Sanitaria</w:t>
            </w:r>
          </w:p>
          <w:p w:rsidR="00E270E0" w:rsidRPr="004B0E8B" w:rsidRDefault="00E270E0" w:rsidP="006B06CB">
            <w:pPr>
              <w:pStyle w:val="Testonormale2"/>
              <w:jc w:val="both"/>
              <w:rPr>
                <w:rFonts w:ascii="Calibri" w:hAnsi="Calibri" w:cs="Arial"/>
                <w:color w:val="000000"/>
                <w:sz w:val="18"/>
                <w:szCs w:val="18"/>
              </w:rPr>
            </w:pPr>
            <w:r w:rsidRPr="004B0E8B">
              <w:rPr>
                <w:rFonts w:ascii="Calibri" w:hAnsi="Calibri" w:cs="Arial"/>
                <w:color w:val="000000"/>
                <w:sz w:val="18"/>
                <w:szCs w:val="18"/>
              </w:rPr>
              <w:t>Direzione Amministrativa</w:t>
            </w:r>
          </w:p>
          <w:p w:rsidR="00E270E0" w:rsidRPr="004B0E8B" w:rsidRDefault="00E270E0" w:rsidP="006B06CB">
            <w:pPr>
              <w:pStyle w:val="Testonormale2"/>
              <w:jc w:val="both"/>
              <w:rPr>
                <w:rFonts w:ascii="Calibri" w:hAnsi="Calibri" w:cs="Arial"/>
                <w:color w:val="000000"/>
                <w:sz w:val="18"/>
                <w:szCs w:val="18"/>
              </w:rPr>
            </w:pPr>
            <w:r w:rsidRPr="004B0E8B">
              <w:rPr>
                <w:rFonts w:ascii="Calibri" w:hAnsi="Calibri" w:cs="Arial"/>
                <w:color w:val="000000"/>
                <w:sz w:val="18"/>
                <w:szCs w:val="18"/>
              </w:rPr>
              <w:t>Aree Amministrative</w:t>
            </w:r>
          </w:p>
          <w:p w:rsidR="00E270E0" w:rsidRPr="003C05B6" w:rsidRDefault="00E270E0" w:rsidP="006B06CB">
            <w:pPr>
              <w:pStyle w:val="Testonormale2"/>
              <w:jc w:val="both"/>
              <w:rPr>
                <w:rFonts w:ascii="Calibri" w:hAnsi="Calibri" w:cs="Arial"/>
                <w:color w:val="000000"/>
                <w:sz w:val="18"/>
                <w:szCs w:val="18"/>
              </w:rPr>
            </w:pPr>
            <w:r w:rsidRPr="004B0E8B">
              <w:rPr>
                <w:rFonts w:ascii="Calibri" w:hAnsi="Calibri" w:cs="Arial"/>
                <w:color w:val="000000"/>
                <w:sz w:val="18"/>
                <w:szCs w:val="18"/>
              </w:rPr>
              <w:t>Spedalità/Ufficio Intramoenia</w:t>
            </w:r>
          </w:p>
        </w:tc>
        <w:tc>
          <w:tcPr>
            <w:tcW w:w="1666" w:type="dxa"/>
          </w:tcPr>
          <w:p w:rsidR="00E270E0" w:rsidRPr="003C05B6" w:rsidRDefault="00E270E0" w:rsidP="00593EFB">
            <w:pPr>
              <w:pStyle w:val="Testonormale2"/>
              <w:jc w:val="center"/>
              <w:rPr>
                <w:rFonts w:ascii="Calibri" w:hAnsi="Calibri" w:cs="Arial"/>
                <w:color w:val="000000"/>
                <w:sz w:val="18"/>
                <w:szCs w:val="18"/>
              </w:rPr>
            </w:pPr>
            <w:r>
              <w:rPr>
                <w:rFonts w:ascii="Calibri" w:hAnsi="Calibri" w:cs="Arial"/>
                <w:color w:val="000000"/>
                <w:sz w:val="18"/>
                <w:szCs w:val="18"/>
              </w:rPr>
              <w:t>Raggiunto</w:t>
            </w:r>
          </w:p>
        </w:tc>
      </w:tr>
      <w:tr w:rsidR="00E270E0" w:rsidRPr="003C05B6" w:rsidTr="006B06CB">
        <w:trPr>
          <w:cantSplit/>
        </w:trPr>
        <w:tc>
          <w:tcPr>
            <w:tcW w:w="2832" w:type="dxa"/>
          </w:tcPr>
          <w:p w:rsidR="00E270E0" w:rsidRPr="003C05B6" w:rsidRDefault="00E270E0" w:rsidP="006B06CB">
            <w:pPr>
              <w:pStyle w:val="Testonormale2"/>
              <w:jc w:val="both"/>
              <w:rPr>
                <w:rFonts w:ascii="Calibri" w:hAnsi="Calibri" w:cs="Arial"/>
                <w:color w:val="000000"/>
                <w:sz w:val="18"/>
                <w:szCs w:val="18"/>
              </w:rPr>
            </w:pPr>
            <w:r w:rsidRPr="004B0E8B">
              <w:rPr>
                <w:rFonts w:ascii="Calibri" w:hAnsi="Calibri" w:cs="Arial"/>
                <w:color w:val="000000"/>
                <w:sz w:val="18"/>
                <w:szCs w:val="18"/>
              </w:rPr>
              <w:t>≥ 60% obiettivi di salute e di funzionamento dei servizi</w:t>
            </w:r>
          </w:p>
        </w:tc>
        <w:tc>
          <w:tcPr>
            <w:tcW w:w="2946" w:type="dxa"/>
          </w:tcPr>
          <w:p w:rsidR="00E270E0" w:rsidRPr="003C05B6" w:rsidRDefault="00E270E0" w:rsidP="006B06CB">
            <w:pPr>
              <w:pStyle w:val="Testonormale2"/>
              <w:rPr>
                <w:rFonts w:ascii="Calibri" w:hAnsi="Calibri" w:cs="Arial"/>
                <w:color w:val="000000"/>
                <w:sz w:val="18"/>
                <w:szCs w:val="18"/>
              </w:rPr>
            </w:pPr>
          </w:p>
        </w:tc>
        <w:tc>
          <w:tcPr>
            <w:tcW w:w="2410" w:type="dxa"/>
          </w:tcPr>
          <w:p w:rsidR="00E270E0" w:rsidRPr="003C05B6" w:rsidRDefault="00E270E0" w:rsidP="006B06CB">
            <w:pPr>
              <w:pStyle w:val="Testonormale2"/>
              <w:jc w:val="both"/>
              <w:rPr>
                <w:rFonts w:ascii="Calibri" w:hAnsi="Calibri" w:cs="Arial"/>
                <w:color w:val="000000"/>
                <w:sz w:val="18"/>
                <w:szCs w:val="18"/>
              </w:rPr>
            </w:pPr>
          </w:p>
        </w:tc>
        <w:tc>
          <w:tcPr>
            <w:tcW w:w="1666" w:type="dxa"/>
          </w:tcPr>
          <w:p w:rsidR="00E270E0" w:rsidRPr="003C05B6" w:rsidRDefault="00E270E0" w:rsidP="00593EFB">
            <w:pPr>
              <w:pStyle w:val="Testonormale2"/>
              <w:jc w:val="center"/>
              <w:rPr>
                <w:rFonts w:ascii="Calibri" w:hAnsi="Calibri" w:cs="Arial"/>
                <w:color w:val="000000"/>
                <w:sz w:val="18"/>
                <w:szCs w:val="18"/>
              </w:rPr>
            </w:pPr>
          </w:p>
        </w:tc>
      </w:tr>
    </w:tbl>
    <w:p w:rsidR="00803D3C" w:rsidRDefault="00803D3C" w:rsidP="00E270E0">
      <w:pPr>
        <w:pStyle w:val="Testonormale2"/>
        <w:spacing w:before="120" w:after="120"/>
        <w:ind w:firstLine="709"/>
        <w:jc w:val="center"/>
        <w:rPr>
          <w:rFonts w:ascii="Calibri" w:hAnsi="Calibri" w:cs="Arial"/>
          <w:b/>
          <w:color w:val="000000"/>
          <w:sz w:val="22"/>
          <w:szCs w:val="22"/>
        </w:rPr>
      </w:pPr>
    </w:p>
    <w:p w:rsidR="00E270E0" w:rsidRPr="003C05B6" w:rsidRDefault="00E270E0" w:rsidP="00E270E0">
      <w:pPr>
        <w:pStyle w:val="Testonormale2"/>
        <w:spacing w:before="120" w:after="120"/>
        <w:ind w:firstLine="709"/>
        <w:jc w:val="center"/>
        <w:rPr>
          <w:rFonts w:ascii="Arial" w:hAnsi="Arial" w:cs="Arial"/>
          <w:b/>
          <w:color w:val="000000"/>
          <w:sz w:val="22"/>
          <w:szCs w:val="22"/>
        </w:rPr>
      </w:pPr>
      <w:r w:rsidRPr="003C05B6">
        <w:rPr>
          <w:rFonts w:ascii="Calibri" w:hAnsi="Calibri" w:cs="Arial"/>
          <w:b/>
          <w:color w:val="000000"/>
          <w:sz w:val="22"/>
          <w:szCs w:val="22"/>
        </w:rPr>
        <w:t xml:space="preserve">Obiettivi Contrattuali </w:t>
      </w:r>
      <w:r>
        <w:rPr>
          <w:rFonts w:ascii="Calibri" w:hAnsi="Calibri" w:cs="Arial"/>
          <w:b/>
          <w:color w:val="000000"/>
          <w:sz w:val="22"/>
          <w:szCs w:val="22"/>
        </w:rPr>
        <w:t>di Salute e di Funzionamento dei Servizi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969"/>
        <w:gridCol w:w="2693"/>
      </w:tblGrid>
      <w:tr w:rsidR="00E270E0" w:rsidRPr="0001617D" w:rsidTr="006B06CB">
        <w:tc>
          <w:tcPr>
            <w:tcW w:w="3227" w:type="dxa"/>
            <w:shd w:val="clear" w:color="auto" w:fill="auto"/>
          </w:tcPr>
          <w:p w:rsidR="00E270E0" w:rsidRPr="0001617D" w:rsidRDefault="00E270E0" w:rsidP="006B06CB">
            <w:pPr>
              <w:autoSpaceDE w:val="0"/>
              <w:autoSpaceDN w:val="0"/>
              <w:adjustRightInd w:val="0"/>
              <w:jc w:val="center"/>
              <w:rPr>
                <w:rFonts w:eastAsia="MS Mincho"/>
                <w:smallCaps/>
                <w:sz w:val="18"/>
                <w:szCs w:val="18"/>
                <w:lang w:eastAsia="ja-JP"/>
              </w:rPr>
            </w:pPr>
            <w:r w:rsidRPr="003C05B6">
              <w:rPr>
                <w:rFonts w:ascii="Calibri" w:hAnsi="Calibri" w:cs="Arial"/>
                <w:b/>
                <w:color w:val="000000"/>
                <w:sz w:val="18"/>
                <w:szCs w:val="18"/>
              </w:rPr>
              <w:t>Sub-obiettivo</w:t>
            </w:r>
          </w:p>
        </w:tc>
        <w:tc>
          <w:tcPr>
            <w:tcW w:w="3969" w:type="dxa"/>
            <w:shd w:val="clear" w:color="auto" w:fill="auto"/>
          </w:tcPr>
          <w:p w:rsidR="00E270E0" w:rsidRPr="0001617D" w:rsidRDefault="00E270E0" w:rsidP="006B06CB">
            <w:pPr>
              <w:autoSpaceDE w:val="0"/>
              <w:autoSpaceDN w:val="0"/>
              <w:adjustRightInd w:val="0"/>
              <w:ind w:left="252" w:hanging="252"/>
              <w:jc w:val="center"/>
              <w:rPr>
                <w:rFonts w:eastAsia="MS Mincho"/>
                <w:sz w:val="18"/>
                <w:szCs w:val="18"/>
                <w:lang w:eastAsia="ja-JP"/>
              </w:rPr>
            </w:pPr>
            <w:r w:rsidRPr="003C05B6">
              <w:rPr>
                <w:rFonts w:ascii="Calibri" w:hAnsi="Calibri" w:cs="Arial"/>
                <w:b/>
                <w:color w:val="000000"/>
                <w:sz w:val="18"/>
                <w:szCs w:val="18"/>
              </w:rPr>
              <w:t>Punti di attenzione</w:t>
            </w:r>
          </w:p>
        </w:tc>
        <w:tc>
          <w:tcPr>
            <w:tcW w:w="2693" w:type="dxa"/>
            <w:shd w:val="clear" w:color="auto" w:fill="auto"/>
          </w:tcPr>
          <w:p w:rsidR="00E270E0" w:rsidRPr="0001617D" w:rsidRDefault="00E270E0" w:rsidP="006B06CB">
            <w:pPr>
              <w:autoSpaceDE w:val="0"/>
              <w:autoSpaceDN w:val="0"/>
              <w:adjustRightInd w:val="0"/>
              <w:jc w:val="center"/>
              <w:rPr>
                <w:rFonts w:eastAsia="MS Mincho"/>
                <w:sz w:val="18"/>
                <w:szCs w:val="18"/>
                <w:lang w:eastAsia="ja-JP"/>
              </w:rPr>
            </w:pPr>
            <w:r>
              <w:rPr>
                <w:rFonts w:ascii="Calibri" w:hAnsi="Calibri" w:cs="Arial"/>
                <w:b/>
                <w:color w:val="000000"/>
                <w:sz w:val="18"/>
                <w:szCs w:val="18"/>
              </w:rPr>
              <w:t>Risultato a dicembre 2014</w:t>
            </w:r>
          </w:p>
        </w:tc>
      </w:tr>
      <w:tr w:rsidR="00E270E0" w:rsidRPr="0001617D" w:rsidTr="006B06CB">
        <w:tc>
          <w:tcPr>
            <w:tcW w:w="3227"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01617D">
              <w:rPr>
                <w:rFonts w:eastAsia="MS Mincho"/>
                <w:sz w:val="18"/>
                <w:szCs w:val="18"/>
                <w:lang w:eastAsia="ja-JP"/>
              </w:rPr>
              <w:t>Piano Attuativo</w:t>
            </w:r>
            <w:r>
              <w:rPr>
                <w:rFonts w:eastAsia="MS Mincho"/>
                <w:sz w:val="18"/>
                <w:szCs w:val="18"/>
                <w:lang w:eastAsia="ja-JP"/>
              </w:rPr>
              <w:t xml:space="preserve">: redazione  e realizzazione delle azioni </w:t>
            </w:r>
          </w:p>
        </w:tc>
        <w:tc>
          <w:tcPr>
            <w:tcW w:w="3969" w:type="dxa"/>
            <w:shd w:val="clear" w:color="auto" w:fill="auto"/>
          </w:tcPr>
          <w:p w:rsidR="00E270E0" w:rsidRPr="0001617D" w:rsidRDefault="00E270E0" w:rsidP="006B06CB">
            <w:pPr>
              <w:autoSpaceDE w:val="0"/>
              <w:autoSpaceDN w:val="0"/>
              <w:adjustRightInd w:val="0"/>
              <w:ind w:left="-57" w:right="-57"/>
              <w:jc w:val="both"/>
              <w:rPr>
                <w:rFonts w:eastAsia="MS Mincho"/>
                <w:sz w:val="18"/>
                <w:szCs w:val="18"/>
                <w:lang w:eastAsia="ja-JP"/>
              </w:rPr>
            </w:pPr>
            <w:r w:rsidRPr="0001617D">
              <w:rPr>
                <w:rFonts w:eastAsia="MS Mincho"/>
                <w:sz w:val="18"/>
                <w:szCs w:val="18"/>
                <w:lang w:eastAsia="ja-JP"/>
              </w:rPr>
              <w:t>Redazione e invio in Assessorato PAA 2014</w:t>
            </w:r>
          </w:p>
          <w:p w:rsidR="00E270E0" w:rsidRPr="0001617D" w:rsidRDefault="00E270E0" w:rsidP="006B06CB">
            <w:pPr>
              <w:autoSpaceDE w:val="0"/>
              <w:autoSpaceDN w:val="0"/>
              <w:adjustRightInd w:val="0"/>
              <w:ind w:left="-57" w:right="-57"/>
              <w:jc w:val="both"/>
              <w:rPr>
                <w:rFonts w:eastAsia="MS Mincho"/>
                <w:sz w:val="18"/>
                <w:szCs w:val="18"/>
                <w:lang w:eastAsia="ja-JP"/>
              </w:rPr>
            </w:pPr>
            <w:r w:rsidRPr="0001617D">
              <w:rPr>
                <w:rFonts w:eastAsia="MS Mincho"/>
                <w:sz w:val="18"/>
                <w:szCs w:val="18"/>
                <w:lang w:eastAsia="ja-JP"/>
              </w:rPr>
              <w:t xml:space="preserve">Realizzazione azioni entro 31.12.2014 </w:t>
            </w:r>
          </w:p>
        </w:tc>
        <w:tc>
          <w:tcPr>
            <w:tcW w:w="2693" w:type="dxa"/>
            <w:shd w:val="clear" w:color="auto" w:fill="auto"/>
          </w:tcPr>
          <w:p w:rsidR="00E270E0" w:rsidRPr="0001617D" w:rsidRDefault="00E270E0" w:rsidP="006B06CB">
            <w:pPr>
              <w:autoSpaceDE w:val="0"/>
              <w:autoSpaceDN w:val="0"/>
              <w:adjustRightInd w:val="0"/>
              <w:jc w:val="both"/>
              <w:rPr>
                <w:rFonts w:eastAsia="MS Mincho"/>
                <w:sz w:val="18"/>
                <w:szCs w:val="18"/>
                <w:lang w:eastAsia="ja-JP"/>
              </w:rPr>
            </w:pPr>
            <w:r w:rsidRPr="0001617D">
              <w:rPr>
                <w:rFonts w:eastAsia="MS Mincho"/>
                <w:sz w:val="18"/>
                <w:szCs w:val="18"/>
                <w:lang w:eastAsia="ja-JP"/>
              </w:rPr>
              <w:t xml:space="preserve">Raggiunto </w:t>
            </w:r>
          </w:p>
          <w:p w:rsidR="00E270E0" w:rsidRPr="0001617D" w:rsidRDefault="00E270E0" w:rsidP="006B06CB">
            <w:pPr>
              <w:autoSpaceDE w:val="0"/>
              <w:autoSpaceDN w:val="0"/>
              <w:adjustRightInd w:val="0"/>
              <w:jc w:val="both"/>
              <w:rPr>
                <w:rFonts w:eastAsia="MS Mincho"/>
                <w:sz w:val="18"/>
                <w:szCs w:val="18"/>
                <w:lang w:eastAsia="ja-JP"/>
              </w:rPr>
            </w:pPr>
            <w:r w:rsidRPr="0001617D">
              <w:rPr>
                <w:rFonts w:eastAsia="MS Mincho"/>
                <w:sz w:val="18"/>
                <w:szCs w:val="18"/>
                <w:lang w:eastAsia="ja-JP"/>
              </w:rPr>
              <w:t>Raggiunto</w:t>
            </w:r>
          </w:p>
        </w:tc>
      </w:tr>
      <w:tr w:rsidR="00E270E0" w:rsidRPr="0001617D" w:rsidTr="006B06CB">
        <w:tc>
          <w:tcPr>
            <w:tcW w:w="3227" w:type="dxa"/>
            <w:vMerge w:val="restart"/>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01617D">
              <w:rPr>
                <w:rFonts w:eastAsia="MS Mincho"/>
                <w:sz w:val="18"/>
                <w:szCs w:val="18"/>
                <w:lang w:eastAsia="ja-JP"/>
              </w:rPr>
              <w:t>Esiti</w:t>
            </w:r>
          </w:p>
          <w:p w:rsidR="00E270E0" w:rsidRPr="0001617D" w:rsidRDefault="00E270E0" w:rsidP="006B06CB">
            <w:pPr>
              <w:autoSpaceDE w:val="0"/>
              <w:autoSpaceDN w:val="0"/>
              <w:adjustRightInd w:val="0"/>
              <w:ind w:left="-57" w:right="-57"/>
              <w:rPr>
                <w:rFonts w:eastAsia="MS Mincho"/>
                <w:sz w:val="18"/>
                <w:szCs w:val="18"/>
                <w:lang w:eastAsia="ja-JP"/>
              </w:rPr>
            </w:pPr>
          </w:p>
        </w:tc>
        <w:tc>
          <w:tcPr>
            <w:tcW w:w="3969"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Pr>
                <w:rFonts w:eastAsia="MS Mincho"/>
                <w:sz w:val="18"/>
                <w:szCs w:val="18"/>
                <w:lang w:eastAsia="ja-JP"/>
              </w:rPr>
              <w:t xml:space="preserve">Tempestività </w:t>
            </w:r>
            <w:r w:rsidRPr="0001617D">
              <w:rPr>
                <w:rFonts w:eastAsia="MS Mincho"/>
                <w:sz w:val="18"/>
                <w:szCs w:val="18"/>
                <w:lang w:eastAsia="ja-JP"/>
              </w:rPr>
              <w:t xml:space="preserve">PTCA </w:t>
            </w:r>
            <w:r>
              <w:rPr>
                <w:rFonts w:eastAsia="MS Mincho"/>
                <w:sz w:val="18"/>
                <w:szCs w:val="18"/>
                <w:lang w:eastAsia="ja-JP"/>
              </w:rPr>
              <w:t>(atteso 100% dopo analisi puntuale dei casi)</w:t>
            </w:r>
          </w:p>
        </w:tc>
        <w:tc>
          <w:tcPr>
            <w:tcW w:w="2693"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01617D">
              <w:rPr>
                <w:rFonts w:eastAsia="MS Mincho"/>
                <w:sz w:val="18"/>
                <w:szCs w:val="18"/>
                <w:lang w:eastAsia="ja-JP"/>
              </w:rPr>
              <w:t xml:space="preserve">100% </w:t>
            </w:r>
          </w:p>
        </w:tc>
      </w:tr>
      <w:tr w:rsidR="00E270E0" w:rsidRPr="0001617D" w:rsidTr="006B06CB">
        <w:tc>
          <w:tcPr>
            <w:tcW w:w="3227" w:type="dxa"/>
            <w:vMerge/>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p>
        </w:tc>
        <w:tc>
          <w:tcPr>
            <w:tcW w:w="3969"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Pr>
                <w:rFonts w:eastAsia="MS Mincho"/>
                <w:sz w:val="18"/>
                <w:szCs w:val="18"/>
                <w:lang w:eastAsia="ja-JP"/>
              </w:rPr>
              <w:t>Tempestività intervento per frattura collo femore</w:t>
            </w:r>
            <w:r w:rsidRPr="0001617D">
              <w:rPr>
                <w:rFonts w:eastAsia="MS Mincho"/>
                <w:sz w:val="18"/>
                <w:szCs w:val="18"/>
                <w:lang w:eastAsia="ja-JP"/>
              </w:rPr>
              <w:t xml:space="preserve"> </w:t>
            </w:r>
            <w:r>
              <w:rPr>
                <w:rFonts w:eastAsia="MS Mincho"/>
                <w:sz w:val="18"/>
                <w:szCs w:val="18"/>
                <w:lang w:eastAsia="ja-JP"/>
              </w:rPr>
              <w:t>(atteso 100% dopo analisi puntuale dei casi)</w:t>
            </w:r>
          </w:p>
        </w:tc>
        <w:tc>
          <w:tcPr>
            <w:tcW w:w="2693"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Pr>
                <w:rFonts w:eastAsia="MS Mincho"/>
                <w:sz w:val="18"/>
                <w:szCs w:val="18"/>
                <w:lang w:eastAsia="ja-JP"/>
              </w:rPr>
              <w:t>100</w:t>
            </w:r>
            <w:r w:rsidRPr="0001617D">
              <w:rPr>
                <w:rFonts w:eastAsia="MS Mincho"/>
                <w:sz w:val="18"/>
                <w:szCs w:val="18"/>
                <w:lang w:eastAsia="ja-JP"/>
              </w:rPr>
              <w:t>%</w:t>
            </w:r>
          </w:p>
        </w:tc>
      </w:tr>
      <w:tr w:rsidR="00E270E0" w:rsidRPr="0001617D" w:rsidTr="006B06CB">
        <w:tc>
          <w:tcPr>
            <w:tcW w:w="3227" w:type="dxa"/>
            <w:vMerge/>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p>
        </w:tc>
        <w:tc>
          <w:tcPr>
            <w:tcW w:w="3969"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Pr>
                <w:rFonts w:eastAsia="MS Mincho"/>
                <w:sz w:val="18"/>
                <w:szCs w:val="18"/>
                <w:lang w:eastAsia="ja-JP"/>
              </w:rPr>
              <w:t xml:space="preserve">Percentuale Parti </w:t>
            </w:r>
            <w:r w:rsidRPr="0001617D">
              <w:rPr>
                <w:rFonts w:eastAsia="MS Mincho"/>
                <w:sz w:val="18"/>
                <w:szCs w:val="18"/>
                <w:lang w:eastAsia="ja-JP"/>
              </w:rPr>
              <w:t>Cesarei</w:t>
            </w:r>
            <w:r>
              <w:rPr>
                <w:rFonts w:eastAsia="MS Mincho"/>
                <w:sz w:val="18"/>
                <w:szCs w:val="18"/>
                <w:lang w:eastAsia="ja-JP"/>
              </w:rPr>
              <w:t xml:space="preserve"> Primari</w:t>
            </w:r>
            <w:r w:rsidRPr="0001617D">
              <w:rPr>
                <w:rFonts w:eastAsia="MS Mincho"/>
                <w:sz w:val="18"/>
                <w:szCs w:val="18"/>
                <w:lang w:eastAsia="ja-JP"/>
              </w:rPr>
              <w:t xml:space="preserve"> </w:t>
            </w:r>
            <w:r>
              <w:rPr>
                <w:rFonts w:eastAsia="MS Mincho"/>
                <w:sz w:val="18"/>
                <w:szCs w:val="18"/>
                <w:lang w:eastAsia="ja-JP"/>
              </w:rPr>
              <w:t>(atteso &lt; 20%  dopo analisi puntuale dei casi)</w:t>
            </w:r>
          </w:p>
        </w:tc>
        <w:tc>
          <w:tcPr>
            <w:tcW w:w="2693"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01617D">
              <w:rPr>
                <w:rFonts w:eastAsia="MS Mincho"/>
                <w:sz w:val="18"/>
                <w:szCs w:val="18"/>
                <w:lang w:eastAsia="ja-JP"/>
              </w:rPr>
              <w:t>14%</w:t>
            </w:r>
          </w:p>
        </w:tc>
      </w:tr>
      <w:tr w:rsidR="00E270E0" w:rsidRPr="0001617D" w:rsidTr="006B06CB">
        <w:trPr>
          <w:trHeight w:val="744"/>
        </w:trPr>
        <w:tc>
          <w:tcPr>
            <w:tcW w:w="3227" w:type="dxa"/>
            <w:vMerge/>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p>
        </w:tc>
        <w:tc>
          <w:tcPr>
            <w:tcW w:w="3969"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01617D">
              <w:rPr>
                <w:rFonts w:eastAsia="MS Mincho"/>
                <w:sz w:val="18"/>
                <w:szCs w:val="18"/>
                <w:lang w:eastAsia="ja-JP"/>
              </w:rPr>
              <w:t xml:space="preserve">Colecistectectomia  Laparoscopica con deg. ≤ 3 gg  </w:t>
            </w:r>
            <w:r>
              <w:rPr>
                <w:rFonts w:eastAsia="MS Mincho"/>
                <w:sz w:val="18"/>
                <w:szCs w:val="18"/>
                <w:lang w:eastAsia="ja-JP"/>
              </w:rPr>
              <w:t>(atteso 100% dopo analisi puntuale dei casi)</w:t>
            </w:r>
          </w:p>
        </w:tc>
        <w:tc>
          <w:tcPr>
            <w:tcW w:w="2693"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01617D">
              <w:rPr>
                <w:rFonts w:eastAsia="MS Mincho"/>
                <w:sz w:val="18"/>
                <w:szCs w:val="18"/>
                <w:lang w:eastAsia="ja-JP"/>
              </w:rPr>
              <w:t>71%</w:t>
            </w:r>
          </w:p>
        </w:tc>
      </w:tr>
      <w:tr w:rsidR="00E270E0" w:rsidRPr="0001617D" w:rsidTr="006B06CB">
        <w:tc>
          <w:tcPr>
            <w:tcW w:w="3227" w:type="dxa"/>
            <w:vMerge w:val="restart"/>
            <w:shd w:val="clear" w:color="auto" w:fill="auto"/>
          </w:tcPr>
          <w:p w:rsidR="00E270E0" w:rsidRDefault="00E270E0" w:rsidP="006B06CB">
            <w:pPr>
              <w:autoSpaceDE w:val="0"/>
              <w:autoSpaceDN w:val="0"/>
              <w:adjustRightInd w:val="0"/>
              <w:ind w:left="-57" w:right="-57"/>
              <w:rPr>
                <w:rFonts w:eastAsia="MS Mincho"/>
                <w:sz w:val="18"/>
                <w:szCs w:val="18"/>
                <w:lang w:eastAsia="ja-JP"/>
              </w:rPr>
            </w:pPr>
            <w:r>
              <w:rPr>
                <w:rFonts w:eastAsia="MS Mincho"/>
                <w:sz w:val="18"/>
                <w:szCs w:val="18"/>
                <w:lang w:eastAsia="ja-JP"/>
              </w:rPr>
              <w:lastRenderedPageBreak/>
              <w:t>Progetto di miglioramento</w:t>
            </w:r>
          </w:p>
          <w:p w:rsidR="00E270E0" w:rsidRPr="0001617D" w:rsidRDefault="00E270E0" w:rsidP="006B06CB">
            <w:pPr>
              <w:autoSpaceDE w:val="0"/>
              <w:autoSpaceDN w:val="0"/>
              <w:adjustRightInd w:val="0"/>
              <w:ind w:left="-57" w:right="-57"/>
              <w:rPr>
                <w:rFonts w:eastAsia="MS Mincho"/>
                <w:sz w:val="18"/>
                <w:szCs w:val="18"/>
                <w:lang w:eastAsia="ja-JP"/>
              </w:rPr>
            </w:pPr>
            <w:r>
              <w:rPr>
                <w:rFonts w:eastAsia="MS Mincho"/>
                <w:sz w:val="18"/>
                <w:szCs w:val="18"/>
                <w:lang w:eastAsia="ja-JP"/>
              </w:rPr>
              <w:t>organizzativo</w:t>
            </w:r>
          </w:p>
          <w:p w:rsidR="00E270E0" w:rsidRPr="0001617D" w:rsidRDefault="00E270E0" w:rsidP="006B06CB">
            <w:pPr>
              <w:autoSpaceDE w:val="0"/>
              <w:autoSpaceDN w:val="0"/>
              <w:adjustRightInd w:val="0"/>
              <w:ind w:left="-57" w:right="-57"/>
              <w:rPr>
                <w:rFonts w:eastAsia="MS Mincho"/>
                <w:sz w:val="18"/>
                <w:szCs w:val="18"/>
                <w:lang w:eastAsia="ja-JP"/>
              </w:rPr>
            </w:pPr>
          </w:p>
          <w:p w:rsidR="00E270E0" w:rsidRPr="0001617D" w:rsidRDefault="00E270E0" w:rsidP="006B06CB">
            <w:pPr>
              <w:autoSpaceDE w:val="0"/>
              <w:autoSpaceDN w:val="0"/>
              <w:adjustRightInd w:val="0"/>
              <w:ind w:left="-57" w:right="-57"/>
              <w:rPr>
                <w:rFonts w:eastAsia="MS Mincho"/>
                <w:sz w:val="18"/>
                <w:szCs w:val="18"/>
                <w:lang w:eastAsia="ja-JP"/>
              </w:rPr>
            </w:pPr>
          </w:p>
          <w:p w:rsidR="00E270E0" w:rsidRPr="0001617D" w:rsidRDefault="00E270E0" w:rsidP="006B06CB">
            <w:pPr>
              <w:autoSpaceDE w:val="0"/>
              <w:autoSpaceDN w:val="0"/>
              <w:adjustRightInd w:val="0"/>
              <w:ind w:left="-57" w:right="-57"/>
              <w:rPr>
                <w:rFonts w:eastAsia="MS Mincho"/>
                <w:sz w:val="18"/>
                <w:szCs w:val="18"/>
                <w:lang w:eastAsia="ja-JP"/>
              </w:rPr>
            </w:pPr>
          </w:p>
          <w:p w:rsidR="00E270E0" w:rsidRPr="0001617D" w:rsidRDefault="00E270E0" w:rsidP="006B06CB">
            <w:pPr>
              <w:autoSpaceDE w:val="0"/>
              <w:autoSpaceDN w:val="0"/>
              <w:adjustRightInd w:val="0"/>
              <w:ind w:left="-57" w:right="-57"/>
              <w:rPr>
                <w:rFonts w:eastAsia="MS Mincho"/>
                <w:sz w:val="18"/>
                <w:szCs w:val="18"/>
                <w:lang w:eastAsia="ja-JP"/>
              </w:rPr>
            </w:pPr>
          </w:p>
        </w:tc>
        <w:tc>
          <w:tcPr>
            <w:tcW w:w="3969"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01617D">
              <w:rPr>
                <w:rFonts w:eastAsia="MS Mincho"/>
                <w:sz w:val="18"/>
                <w:szCs w:val="18"/>
                <w:lang w:eastAsia="ja-JP"/>
              </w:rPr>
              <w:t>Gestione autonoma nuovi flussi</w:t>
            </w:r>
          </w:p>
        </w:tc>
        <w:tc>
          <w:tcPr>
            <w:tcW w:w="2693" w:type="dxa"/>
            <w:shd w:val="clear" w:color="auto" w:fill="auto"/>
          </w:tcPr>
          <w:p w:rsidR="00E270E0" w:rsidRPr="0001617D" w:rsidRDefault="00E270E0" w:rsidP="006B06CB">
            <w:pPr>
              <w:jc w:val="both"/>
              <w:rPr>
                <w:sz w:val="18"/>
                <w:szCs w:val="18"/>
              </w:rPr>
            </w:pPr>
            <w:r w:rsidRPr="0001617D">
              <w:rPr>
                <w:sz w:val="18"/>
                <w:szCs w:val="18"/>
              </w:rPr>
              <w:t>Raggiunto</w:t>
            </w:r>
          </w:p>
        </w:tc>
      </w:tr>
      <w:tr w:rsidR="00E270E0" w:rsidRPr="0001617D" w:rsidTr="006B06CB">
        <w:tc>
          <w:tcPr>
            <w:tcW w:w="3227" w:type="dxa"/>
            <w:vMerge/>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p>
        </w:tc>
        <w:tc>
          <w:tcPr>
            <w:tcW w:w="3969"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01617D">
              <w:rPr>
                <w:rFonts w:eastAsia="MS Mincho"/>
                <w:sz w:val="18"/>
                <w:szCs w:val="18"/>
                <w:lang w:eastAsia="ja-JP"/>
              </w:rPr>
              <w:t>Valutazione della qualità delle strutture ospedaliere secondo la prospettiva del cittadino</w:t>
            </w:r>
          </w:p>
        </w:tc>
        <w:tc>
          <w:tcPr>
            <w:tcW w:w="2693" w:type="dxa"/>
            <w:shd w:val="clear" w:color="auto" w:fill="auto"/>
          </w:tcPr>
          <w:p w:rsidR="00E270E0" w:rsidRPr="0001617D" w:rsidRDefault="00E270E0" w:rsidP="006B06CB">
            <w:pPr>
              <w:jc w:val="both"/>
              <w:rPr>
                <w:sz w:val="18"/>
                <w:szCs w:val="18"/>
              </w:rPr>
            </w:pPr>
            <w:r w:rsidRPr="0001617D">
              <w:rPr>
                <w:sz w:val="18"/>
                <w:szCs w:val="18"/>
              </w:rPr>
              <w:t>Raggiunto</w:t>
            </w:r>
          </w:p>
        </w:tc>
      </w:tr>
      <w:tr w:rsidR="00E270E0" w:rsidRPr="0001617D" w:rsidTr="006B06CB">
        <w:trPr>
          <w:trHeight w:hRule="exact" w:val="551"/>
        </w:trPr>
        <w:tc>
          <w:tcPr>
            <w:tcW w:w="3227" w:type="dxa"/>
            <w:vMerge/>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p>
        </w:tc>
        <w:tc>
          <w:tcPr>
            <w:tcW w:w="3969"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380DD5">
              <w:rPr>
                <w:rFonts w:eastAsia="MS Mincho"/>
                <w:sz w:val="18"/>
                <w:szCs w:val="18"/>
                <w:lang w:eastAsia="ja-JP"/>
              </w:rPr>
              <w:t>Incremento dell’utilizzo dei “Day Service” in regime di appropriatezza</w:t>
            </w:r>
          </w:p>
        </w:tc>
        <w:tc>
          <w:tcPr>
            <w:tcW w:w="2693" w:type="dxa"/>
            <w:shd w:val="clear" w:color="auto" w:fill="auto"/>
          </w:tcPr>
          <w:p w:rsidR="00E270E0" w:rsidRPr="0001617D" w:rsidRDefault="00E270E0" w:rsidP="006B06CB">
            <w:pPr>
              <w:ind w:left="-57" w:right="-57"/>
              <w:jc w:val="both"/>
              <w:rPr>
                <w:sz w:val="18"/>
                <w:szCs w:val="18"/>
              </w:rPr>
            </w:pPr>
            <w:r>
              <w:rPr>
                <w:sz w:val="18"/>
                <w:szCs w:val="18"/>
              </w:rPr>
              <w:t xml:space="preserve"> </w:t>
            </w:r>
            <w:r w:rsidRPr="0001617D">
              <w:rPr>
                <w:sz w:val="18"/>
                <w:szCs w:val="18"/>
              </w:rPr>
              <w:t>Raggiunto</w:t>
            </w:r>
          </w:p>
        </w:tc>
      </w:tr>
      <w:tr w:rsidR="00E270E0" w:rsidRPr="0001617D" w:rsidTr="006B06CB">
        <w:trPr>
          <w:trHeight w:hRule="exact" w:val="606"/>
        </w:trPr>
        <w:tc>
          <w:tcPr>
            <w:tcW w:w="3227" w:type="dxa"/>
            <w:vMerge/>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p>
        </w:tc>
        <w:tc>
          <w:tcPr>
            <w:tcW w:w="3969"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380DD5">
              <w:rPr>
                <w:rFonts w:eastAsia="MS Mincho"/>
                <w:sz w:val="18"/>
                <w:szCs w:val="18"/>
                <w:lang w:eastAsia="ja-JP"/>
              </w:rPr>
              <w:t>Rispetto degli standard di sicurezza dei punti nascita</w:t>
            </w:r>
          </w:p>
        </w:tc>
        <w:tc>
          <w:tcPr>
            <w:tcW w:w="2693" w:type="dxa"/>
            <w:shd w:val="clear" w:color="auto" w:fill="auto"/>
          </w:tcPr>
          <w:p w:rsidR="00E270E0" w:rsidRPr="0001617D" w:rsidRDefault="00E270E0" w:rsidP="006B06CB">
            <w:pPr>
              <w:ind w:left="-57" w:right="-57"/>
              <w:jc w:val="both"/>
              <w:rPr>
                <w:sz w:val="18"/>
                <w:szCs w:val="18"/>
              </w:rPr>
            </w:pPr>
            <w:r w:rsidRPr="0001617D">
              <w:rPr>
                <w:sz w:val="18"/>
                <w:szCs w:val="18"/>
              </w:rPr>
              <w:t>Raggiunto</w:t>
            </w:r>
          </w:p>
        </w:tc>
      </w:tr>
      <w:tr w:rsidR="00E270E0" w:rsidRPr="0001617D" w:rsidTr="006B06CB">
        <w:trPr>
          <w:trHeight w:hRule="exact" w:val="559"/>
        </w:trPr>
        <w:tc>
          <w:tcPr>
            <w:tcW w:w="3227" w:type="dxa"/>
            <w:vMerge/>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p>
        </w:tc>
        <w:tc>
          <w:tcPr>
            <w:tcW w:w="3969" w:type="dxa"/>
            <w:shd w:val="clear" w:color="auto" w:fill="auto"/>
          </w:tcPr>
          <w:p w:rsidR="00E270E0" w:rsidRPr="0001617D" w:rsidRDefault="00E270E0" w:rsidP="006B06CB">
            <w:pPr>
              <w:autoSpaceDE w:val="0"/>
              <w:autoSpaceDN w:val="0"/>
              <w:adjustRightInd w:val="0"/>
              <w:ind w:left="-57" w:right="-57"/>
              <w:rPr>
                <w:rFonts w:eastAsia="MS Mincho"/>
                <w:sz w:val="18"/>
                <w:szCs w:val="18"/>
                <w:lang w:eastAsia="ja-JP"/>
              </w:rPr>
            </w:pPr>
            <w:r w:rsidRPr="00380DD5">
              <w:rPr>
                <w:rFonts w:eastAsia="MS Mincho"/>
                <w:sz w:val="18"/>
                <w:szCs w:val="18"/>
                <w:lang w:eastAsia="ja-JP"/>
              </w:rPr>
              <w:t>Redazione conforme e omogenea dei modelli LA</w:t>
            </w:r>
          </w:p>
        </w:tc>
        <w:tc>
          <w:tcPr>
            <w:tcW w:w="2693" w:type="dxa"/>
            <w:shd w:val="clear" w:color="auto" w:fill="auto"/>
          </w:tcPr>
          <w:p w:rsidR="00E270E0" w:rsidRPr="0001617D" w:rsidRDefault="00E270E0" w:rsidP="006B06CB">
            <w:pPr>
              <w:ind w:left="-57" w:right="-57"/>
              <w:jc w:val="both"/>
              <w:rPr>
                <w:sz w:val="18"/>
                <w:szCs w:val="18"/>
              </w:rPr>
            </w:pPr>
            <w:r w:rsidRPr="0001617D">
              <w:rPr>
                <w:sz w:val="18"/>
                <w:szCs w:val="18"/>
              </w:rPr>
              <w:t>Raggiunto</w:t>
            </w:r>
          </w:p>
        </w:tc>
      </w:tr>
    </w:tbl>
    <w:p w:rsidR="00E270E0" w:rsidRDefault="00E270E0" w:rsidP="00E270E0">
      <w:pPr>
        <w:pStyle w:val="Corpodeltesto21"/>
        <w:spacing w:after="60" w:line="240" w:lineRule="auto"/>
        <w:jc w:val="both"/>
        <w:outlineLvl w:val="2"/>
        <w:rPr>
          <w:rFonts w:asciiTheme="minorHAnsi" w:hAnsiTheme="minorHAnsi" w:cs="Arial"/>
          <w:b/>
          <w:color w:val="000000"/>
          <w:sz w:val="22"/>
          <w:szCs w:val="22"/>
        </w:rPr>
      </w:pPr>
      <w:bookmarkStart w:id="3" w:name="_Toc392240160"/>
      <w:r>
        <w:rPr>
          <w:rFonts w:asciiTheme="minorHAnsi" w:hAnsiTheme="minorHAnsi" w:cs="Arial"/>
          <w:b/>
          <w:color w:val="000000"/>
          <w:sz w:val="22"/>
          <w:szCs w:val="22"/>
        </w:rPr>
        <w:tab/>
      </w:r>
    </w:p>
    <w:p w:rsidR="00E270E0" w:rsidRDefault="00E270E0" w:rsidP="00E270E0">
      <w:pPr>
        <w:pStyle w:val="Corpodeltesto21"/>
        <w:spacing w:after="60" w:line="240" w:lineRule="auto"/>
        <w:jc w:val="both"/>
        <w:outlineLvl w:val="2"/>
        <w:rPr>
          <w:rFonts w:asciiTheme="minorHAnsi" w:hAnsiTheme="minorHAnsi" w:cs="Arial"/>
          <w:b/>
          <w:color w:val="000000"/>
          <w:sz w:val="22"/>
          <w:szCs w:val="22"/>
        </w:rPr>
      </w:pPr>
    </w:p>
    <w:p w:rsidR="00593EFB" w:rsidRDefault="00E270E0" w:rsidP="00E270E0">
      <w:pPr>
        <w:pStyle w:val="Corpodeltesto21"/>
        <w:spacing w:after="60" w:line="240" w:lineRule="auto"/>
        <w:jc w:val="both"/>
        <w:outlineLvl w:val="2"/>
        <w:rPr>
          <w:rFonts w:asciiTheme="minorHAnsi" w:hAnsiTheme="minorHAnsi" w:cs="Arial"/>
          <w:b/>
          <w:color w:val="000000"/>
          <w:sz w:val="22"/>
          <w:szCs w:val="22"/>
        </w:rPr>
      </w:pPr>
      <w:r>
        <w:rPr>
          <w:rFonts w:asciiTheme="minorHAnsi" w:hAnsiTheme="minorHAnsi" w:cs="Arial"/>
          <w:b/>
          <w:color w:val="000000"/>
          <w:sz w:val="22"/>
          <w:szCs w:val="22"/>
        </w:rPr>
        <w:tab/>
      </w:r>
      <w:r w:rsidRPr="004245A3">
        <w:rPr>
          <w:rFonts w:asciiTheme="minorHAnsi" w:hAnsiTheme="minorHAnsi" w:cs="Arial"/>
          <w:b/>
          <w:color w:val="000000"/>
          <w:sz w:val="22"/>
          <w:szCs w:val="22"/>
        </w:rPr>
        <w:t>Piano Attuativo</w:t>
      </w:r>
    </w:p>
    <w:p w:rsidR="00593EFB" w:rsidRDefault="00593EFB" w:rsidP="00E270E0">
      <w:pPr>
        <w:pStyle w:val="Corpodeltesto21"/>
        <w:spacing w:after="60" w:line="240" w:lineRule="auto"/>
        <w:jc w:val="both"/>
        <w:outlineLvl w:val="2"/>
        <w:rPr>
          <w:rFonts w:asciiTheme="minorHAnsi" w:hAnsiTheme="minorHAnsi" w:cs="Arial"/>
          <w:b/>
          <w:color w:val="000000"/>
          <w:sz w:val="22"/>
          <w:szCs w:val="22"/>
        </w:rPr>
      </w:pPr>
    </w:p>
    <w:p w:rsidR="00E270E0" w:rsidRDefault="00E270E0" w:rsidP="00E270E0">
      <w:pPr>
        <w:pStyle w:val="Corpodeltesto21"/>
        <w:spacing w:after="60" w:line="240" w:lineRule="auto"/>
        <w:jc w:val="both"/>
        <w:outlineLvl w:val="2"/>
        <w:rPr>
          <w:rFonts w:asciiTheme="minorHAnsi" w:hAnsiTheme="minorHAnsi" w:cs="Arial"/>
          <w:b/>
          <w:color w:val="000000"/>
          <w:sz w:val="22"/>
          <w:szCs w:val="22"/>
        </w:rPr>
      </w:pPr>
      <w:r>
        <w:rPr>
          <w:rFonts w:asciiTheme="minorHAnsi" w:hAnsiTheme="minorHAnsi" w:cs="Arial"/>
          <w:b/>
          <w:color w:val="000000"/>
          <w:sz w:val="22"/>
          <w:szCs w:val="22"/>
        </w:rPr>
        <w:tab/>
      </w:r>
      <w:r w:rsidRPr="002658A4">
        <w:rPr>
          <w:rFonts w:asciiTheme="minorHAnsi" w:hAnsiTheme="minorHAnsi" w:cs="Arial"/>
          <w:color w:val="000000"/>
          <w:sz w:val="22"/>
          <w:szCs w:val="22"/>
        </w:rPr>
        <w:t>Le Aziende dell’Area Metropolitana sono intervenute sinergicamente nella realizzazione di un piano comune, integrato e condiviso</w:t>
      </w:r>
      <w:r w:rsidR="00593EFB">
        <w:rPr>
          <w:rFonts w:asciiTheme="minorHAnsi" w:hAnsiTheme="minorHAnsi" w:cs="Arial"/>
          <w:color w:val="000000"/>
          <w:sz w:val="22"/>
          <w:szCs w:val="22"/>
        </w:rPr>
        <w:t xml:space="preserve"> la cui implementazione continuerà durante il 2016</w:t>
      </w:r>
      <w:r w:rsidRPr="002658A4">
        <w:rPr>
          <w:rFonts w:asciiTheme="minorHAnsi" w:hAnsiTheme="minorHAnsi" w:cs="Arial"/>
          <w:color w:val="000000"/>
          <w:sz w:val="22"/>
          <w:szCs w:val="22"/>
        </w:rPr>
        <w:t>.</w:t>
      </w:r>
    </w:p>
    <w:p w:rsidR="00E270E0" w:rsidRDefault="00E270E0" w:rsidP="00E270E0">
      <w:pPr>
        <w:pStyle w:val="Corpodeltesto21"/>
        <w:spacing w:after="60" w:line="240" w:lineRule="auto"/>
        <w:jc w:val="both"/>
        <w:outlineLvl w:val="2"/>
        <w:rPr>
          <w:rFonts w:asciiTheme="minorHAnsi" w:hAnsiTheme="minorHAnsi" w:cs="Arial"/>
          <w:b/>
          <w:color w:val="000000"/>
          <w:sz w:val="22"/>
          <w:szCs w:val="22"/>
        </w:rPr>
      </w:pPr>
      <w:r>
        <w:rPr>
          <w:rFonts w:asciiTheme="minorHAnsi" w:hAnsiTheme="minorHAnsi" w:cs="Arial"/>
          <w:b/>
          <w:color w:val="000000"/>
          <w:sz w:val="22"/>
          <w:szCs w:val="22"/>
        </w:rPr>
        <w:tab/>
      </w:r>
      <w:r w:rsidRPr="002658A4">
        <w:rPr>
          <w:rFonts w:asciiTheme="minorHAnsi" w:hAnsiTheme="minorHAnsi" w:cs="Arial"/>
          <w:color w:val="000000"/>
          <w:sz w:val="22"/>
          <w:szCs w:val="22"/>
        </w:rPr>
        <w:t>Di particolare rilievo è stato l’impegno profuso nella realizzazione di questo obiettivo che ha necessariamente comportato l’interazione e l’integrazione dei professionisti, di ARNAS Civico, coinvolti per gli ambiti specifici di competenza, con quelli della AOU Policlinico di Palermo, della AO Ospedali Riuniti Villa Sofia Cervello e dell’ASP di Palermo, sia sulla redazione che sulla effettiva realizzazione delle azioni comprese nei 15 Capitoli del Piano.</w:t>
      </w:r>
    </w:p>
    <w:p w:rsidR="00E270E0" w:rsidRPr="002658A4" w:rsidRDefault="00E270E0" w:rsidP="00E270E0">
      <w:pPr>
        <w:pStyle w:val="Corpodeltesto21"/>
        <w:spacing w:after="60" w:line="240" w:lineRule="auto"/>
        <w:jc w:val="both"/>
        <w:outlineLvl w:val="2"/>
        <w:rPr>
          <w:rFonts w:asciiTheme="minorHAnsi" w:hAnsiTheme="minorHAnsi" w:cs="Arial"/>
          <w:b/>
          <w:color w:val="000000"/>
          <w:sz w:val="22"/>
          <w:szCs w:val="22"/>
        </w:rPr>
      </w:pPr>
      <w:r>
        <w:rPr>
          <w:rFonts w:asciiTheme="minorHAnsi" w:hAnsiTheme="minorHAnsi" w:cs="Arial"/>
          <w:b/>
          <w:color w:val="000000"/>
          <w:sz w:val="22"/>
          <w:szCs w:val="22"/>
        </w:rPr>
        <w:tab/>
      </w:r>
      <w:r w:rsidRPr="002658A4">
        <w:rPr>
          <w:rFonts w:asciiTheme="minorHAnsi" w:hAnsiTheme="minorHAnsi" w:cs="Arial"/>
          <w:color w:val="000000"/>
          <w:sz w:val="22"/>
          <w:szCs w:val="22"/>
        </w:rPr>
        <w:t>L’ARNAS Civico, in particolare,  è capofila per i capitoli:</w:t>
      </w:r>
    </w:p>
    <w:p w:rsidR="00E270E0" w:rsidRPr="002658A4" w:rsidRDefault="00E270E0" w:rsidP="00E270E0">
      <w:pPr>
        <w:pStyle w:val="Corpodeltesto21"/>
        <w:spacing w:after="60" w:line="240" w:lineRule="auto"/>
        <w:ind w:left="1069"/>
        <w:jc w:val="both"/>
        <w:outlineLvl w:val="2"/>
        <w:rPr>
          <w:rFonts w:asciiTheme="minorHAnsi" w:hAnsiTheme="minorHAnsi" w:cs="Arial"/>
          <w:color w:val="000000"/>
          <w:sz w:val="22"/>
          <w:szCs w:val="22"/>
        </w:rPr>
      </w:pPr>
      <w:r w:rsidRPr="002658A4">
        <w:rPr>
          <w:rFonts w:asciiTheme="minorHAnsi" w:hAnsiTheme="minorHAnsi" w:cs="Arial"/>
          <w:color w:val="000000"/>
          <w:sz w:val="22"/>
          <w:szCs w:val="22"/>
        </w:rPr>
        <w:t>Capitolo 5: Salute della Donna</w:t>
      </w:r>
    </w:p>
    <w:p w:rsidR="00E270E0" w:rsidRPr="002658A4" w:rsidRDefault="00E270E0" w:rsidP="00E270E0">
      <w:pPr>
        <w:pStyle w:val="Corpodeltesto21"/>
        <w:spacing w:after="60" w:line="240" w:lineRule="auto"/>
        <w:ind w:left="1069"/>
        <w:jc w:val="both"/>
        <w:outlineLvl w:val="2"/>
        <w:rPr>
          <w:rFonts w:asciiTheme="minorHAnsi" w:hAnsiTheme="minorHAnsi" w:cs="Arial"/>
          <w:color w:val="000000"/>
          <w:sz w:val="22"/>
          <w:szCs w:val="22"/>
        </w:rPr>
      </w:pPr>
      <w:r w:rsidRPr="002658A4">
        <w:rPr>
          <w:rFonts w:asciiTheme="minorHAnsi" w:hAnsiTheme="minorHAnsi" w:cs="Arial"/>
          <w:color w:val="000000"/>
          <w:sz w:val="22"/>
          <w:szCs w:val="22"/>
        </w:rPr>
        <w:t>Capitolo 6: Oncologia</w:t>
      </w:r>
    </w:p>
    <w:p w:rsidR="00E270E0" w:rsidRPr="002658A4" w:rsidRDefault="00E270E0" w:rsidP="00E270E0">
      <w:pPr>
        <w:pStyle w:val="Corpodeltesto21"/>
        <w:spacing w:after="60" w:line="240" w:lineRule="auto"/>
        <w:ind w:left="1069"/>
        <w:jc w:val="both"/>
        <w:outlineLvl w:val="2"/>
        <w:rPr>
          <w:rFonts w:asciiTheme="minorHAnsi" w:hAnsiTheme="minorHAnsi" w:cs="Arial"/>
          <w:color w:val="000000"/>
          <w:sz w:val="22"/>
          <w:szCs w:val="22"/>
        </w:rPr>
      </w:pPr>
      <w:r>
        <w:rPr>
          <w:rFonts w:asciiTheme="minorHAnsi" w:hAnsiTheme="minorHAnsi" w:cs="Arial"/>
          <w:color w:val="000000"/>
          <w:sz w:val="22"/>
          <w:szCs w:val="22"/>
        </w:rPr>
        <w:t>Capitolo 8</w:t>
      </w:r>
      <w:r w:rsidRPr="002658A4">
        <w:rPr>
          <w:rFonts w:asciiTheme="minorHAnsi" w:hAnsiTheme="minorHAnsi" w:cs="Arial"/>
          <w:color w:val="000000"/>
          <w:sz w:val="22"/>
          <w:szCs w:val="22"/>
        </w:rPr>
        <w:t>: Cardiologia - Rete Infarto</w:t>
      </w:r>
    </w:p>
    <w:p w:rsidR="00E270E0" w:rsidRPr="002658A4" w:rsidRDefault="00E270E0" w:rsidP="00E270E0">
      <w:pPr>
        <w:pStyle w:val="Corpodeltesto21"/>
        <w:spacing w:after="60" w:line="240" w:lineRule="auto"/>
        <w:ind w:left="1069"/>
        <w:jc w:val="both"/>
        <w:outlineLvl w:val="2"/>
        <w:rPr>
          <w:rFonts w:asciiTheme="minorHAnsi" w:hAnsiTheme="minorHAnsi" w:cs="Arial"/>
          <w:color w:val="000000"/>
          <w:sz w:val="22"/>
          <w:szCs w:val="22"/>
        </w:rPr>
      </w:pPr>
      <w:r w:rsidRPr="002658A4">
        <w:rPr>
          <w:rFonts w:asciiTheme="minorHAnsi" w:hAnsiTheme="minorHAnsi" w:cs="Arial"/>
          <w:color w:val="000000"/>
          <w:sz w:val="22"/>
          <w:szCs w:val="22"/>
        </w:rPr>
        <w:t>Capitolo 9: Neuroscienze</w:t>
      </w:r>
    </w:p>
    <w:p w:rsidR="00E270E0" w:rsidRPr="002658A4" w:rsidRDefault="00E270E0" w:rsidP="00E270E0">
      <w:pPr>
        <w:pStyle w:val="Corpodeltesto21"/>
        <w:spacing w:after="60" w:line="240" w:lineRule="auto"/>
        <w:ind w:left="1069"/>
        <w:jc w:val="both"/>
        <w:outlineLvl w:val="2"/>
        <w:rPr>
          <w:rFonts w:asciiTheme="minorHAnsi" w:hAnsiTheme="minorHAnsi" w:cs="Arial"/>
          <w:color w:val="000000"/>
          <w:sz w:val="22"/>
          <w:szCs w:val="22"/>
        </w:rPr>
      </w:pPr>
      <w:r w:rsidRPr="002658A4">
        <w:rPr>
          <w:rFonts w:asciiTheme="minorHAnsi" w:hAnsiTheme="minorHAnsi" w:cs="Arial"/>
          <w:color w:val="000000"/>
          <w:sz w:val="22"/>
          <w:szCs w:val="22"/>
        </w:rPr>
        <w:t>Capitolo 11A: Trapianti</w:t>
      </w:r>
    </w:p>
    <w:p w:rsidR="00E270E0" w:rsidRPr="002658A4" w:rsidRDefault="00E270E0" w:rsidP="00E270E0">
      <w:pPr>
        <w:pStyle w:val="Corpodeltesto21"/>
        <w:spacing w:after="60" w:line="240" w:lineRule="auto"/>
        <w:ind w:left="1069"/>
        <w:jc w:val="both"/>
        <w:outlineLvl w:val="2"/>
        <w:rPr>
          <w:rFonts w:asciiTheme="minorHAnsi" w:hAnsiTheme="minorHAnsi" w:cs="Arial"/>
          <w:color w:val="000000"/>
          <w:sz w:val="22"/>
          <w:szCs w:val="22"/>
        </w:rPr>
      </w:pPr>
      <w:r w:rsidRPr="002658A4">
        <w:rPr>
          <w:rFonts w:asciiTheme="minorHAnsi" w:hAnsiTheme="minorHAnsi" w:cs="Arial"/>
          <w:color w:val="000000"/>
          <w:sz w:val="22"/>
          <w:szCs w:val="22"/>
        </w:rPr>
        <w:t>Capitolo 11B: Piano Sangue</w:t>
      </w:r>
    </w:p>
    <w:p w:rsidR="00E270E0" w:rsidRPr="002658A4" w:rsidRDefault="00E270E0" w:rsidP="00E270E0">
      <w:pPr>
        <w:pStyle w:val="Corpodeltesto21"/>
        <w:spacing w:after="60" w:line="240" w:lineRule="auto"/>
        <w:ind w:left="1069"/>
        <w:jc w:val="both"/>
        <w:outlineLvl w:val="2"/>
        <w:rPr>
          <w:rFonts w:asciiTheme="minorHAnsi" w:hAnsiTheme="minorHAnsi" w:cs="Arial"/>
          <w:color w:val="000000"/>
          <w:sz w:val="22"/>
          <w:szCs w:val="22"/>
        </w:rPr>
      </w:pPr>
    </w:p>
    <w:p w:rsidR="00E270E0" w:rsidRDefault="00E270E0" w:rsidP="00E270E0">
      <w:pPr>
        <w:pStyle w:val="Testonormale2"/>
        <w:spacing w:before="120" w:after="120"/>
        <w:ind w:firstLine="709"/>
        <w:jc w:val="both"/>
        <w:rPr>
          <w:rFonts w:asciiTheme="minorHAnsi" w:hAnsiTheme="minorHAnsi" w:cs="Arial"/>
          <w:color w:val="000000"/>
          <w:sz w:val="22"/>
          <w:szCs w:val="22"/>
        </w:rPr>
      </w:pPr>
      <w:r>
        <w:rPr>
          <w:rFonts w:asciiTheme="minorHAnsi" w:hAnsiTheme="minorHAnsi" w:cs="Arial"/>
          <w:color w:val="000000"/>
          <w:sz w:val="22"/>
          <w:szCs w:val="22"/>
        </w:rPr>
        <w:t>Di seguito sono sintetizzati, per capitolo del piano, gli obiettivi perseguiti e raggiunti nel corso dell’anno 2015:</w:t>
      </w:r>
    </w:p>
    <w:p w:rsidR="00593EFB" w:rsidRDefault="00593EFB" w:rsidP="00E270E0">
      <w:pPr>
        <w:pStyle w:val="Testonormale2"/>
        <w:spacing w:before="120" w:after="120"/>
        <w:ind w:firstLine="709"/>
        <w:jc w:val="both"/>
        <w:rPr>
          <w:rFonts w:asciiTheme="minorHAnsi" w:hAnsiTheme="minorHAnsi" w:cs="Arial"/>
          <w:color w:val="000000"/>
          <w:sz w:val="22"/>
          <w:szCs w:val="22"/>
        </w:rPr>
      </w:pPr>
      <w:r w:rsidRPr="00D67ECD">
        <w:rPr>
          <w:rFonts w:asciiTheme="minorHAnsi" w:hAnsiTheme="minorHAnsi" w:cs="Arial"/>
          <w:noProof/>
          <w:color w:val="000000"/>
          <w:sz w:val="22"/>
          <w:szCs w:val="22"/>
          <w:lang w:eastAsia="it-IT"/>
        </w:rPr>
        <w:drawing>
          <wp:inline distT="0" distB="0" distL="0" distR="0" wp14:anchorId="3E7EBBEE" wp14:editId="1EFC6D3C">
            <wp:extent cx="6118860" cy="215660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4095" b="68633"/>
                    <a:stretch/>
                  </pic:blipFill>
                  <pic:spPr bwMode="auto">
                    <a:xfrm>
                      <a:off x="0" y="0"/>
                      <a:ext cx="6120130" cy="2157052"/>
                    </a:xfrm>
                    <a:prstGeom prst="rect">
                      <a:avLst/>
                    </a:prstGeom>
                    <a:noFill/>
                    <a:ln>
                      <a:noFill/>
                    </a:ln>
                    <a:extLst>
                      <a:ext uri="{53640926-AAD7-44D8-BBD7-CCE9431645EC}">
                        <a14:shadowObscured xmlns:a14="http://schemas.microsoft.com/office/drawing/2010/main"/>
                      </a:ext>
                    </a:extLst>
                  </pic:spPr>
                </pic:pic>
              </a:graphicData>
            </a:graphic>
          </wp:inline>
        </w:drawing>
      </w:r>
    </w:p>
    <w:p w:rsidR="00E270E0" w:rsidRDefault="00E270E0" w:rsidP="00E270E0">
      <w:pPr>
        <w:pStyle w:val="Testonormale2"/>
        <w:spacing w:before="120" w:after="120"/>
        <w:ind w:firstLine="709"/>
        <w:jc w:val="both"/>
        <w:rPr>
          <w:rFonts w:asciiTheme="minorHAnsi" w:hAnsiTheme="minorHAnsi" w:cs="Arial"/>
          <w:color w:val="000000"/>
          <w:sz w:val="22"/>
          <w:szCs w:val="22"/>
        </w:rPr>
      </w:pPr>
      <w:r w:rsidRPr="00D67ECD">
        <w:rPr>
          <w:rFonts w:asciiTheme="minorHAnsi" w:hAnsiTheme="minorHAnsi" w:cs="Arial"/>
          <w:noProof/>
          <w:color w:val="000000"/>
          <w:sz w:val="22"/>
          <w:szCs w:val="22"/>
          <w:lang w:eastAsia="it-IT"/>
        </w:rPr>
        <w:lastRenderedPageBreak/>
        <w:drawing>
          <wp:inline distT="0" distB="0" distL="0" distR="0" wp14:anchorId="448C5B99" wp14:editId="57A2D2D3">
            <wp:extent cx="6119495" cy="5480137"/>
            <wp:effectExtent l="0" t="0" r="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30709"/>
                    <a:stretch/>
                  </pic:blipFill>
                  <pic:spPr bwMode="auto">
                    <a:xfrm>
                      <a:off x="0" y="0"/>
                      <a:ext cx="6120130" cy="5480706"/>
                    </a:xfrm>
                    <a:prstGeom prst="rect">
                      <a:avLst/>
                    </a:prstGeom>
                    <a:noFill/>
                    <a:ln>
                      <a:noFill/>
                    </a:ln>
                    <a:extLst>
                      <a:ext uri="{53640926-AAD7-44D8-BBD7-CCE9431645EC}">
                        <a14:shadowObscured xmlns:a14="http://schemas.microsoft.com/office/drawing/2010/main"/>
                      </a:ext>
                    </a:extLst>
                  </pic:spPr>
                </pic:pic>
              </a:graphicData>
            </a:graphic>
          </wp:inline>
        </w:drawing>
      </w:r>
    </w:p>
    <w:p w:rsidR="00E270E0" w:rsidRDefault="00593EFB" w:rsidP="00E270E0">
      <w:pPr>
        <w:pStyle w:val="Testonormale2"/>
        <w:spacing w:before="120" w:after="120"/>
        <w:ind w:firstLine="709"/>
        <w:jc w:val="both"/>
        <w:rPr>
          <w:rFonts w:asciiTheme="minorHAnsi" w:hAnsiTheme="minorHAnsi" w:cs="Arial"/>
          <w:color w:val="000000"/>
          <w:sz w:val="22"/>
          <w:szCs w:val="22"/>
        </w:rPr>
      </w:pPr>
      <w:r w:rsidRPr="00D67ECD">
        <w:rPr>
          <w:rFonts w:asciiTheme="minorHAnsi" w:hAnsiTheme="minorHAnsi" w:cs="Arial"/>
          <w:noProof/>
          <w:color w:val="000000"/>
          <w:sz w:val="22"/>
          <w:szCs w:val="22"/>
          <w:lang w:eastAsia="it-IT"/>
        </w:rPr>
        <w:drawing>
          <wp:inline distT="0" distB="0" distL="0" distR="0" wp14:anchorId="448143AE" wp14:editId="2E0E46AD">
            <wp:extent cx="6116914" cy="3174521"/>
            <wp:effectExtent l="0" t="0" r="0" b="698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39126"/>
                    <a:stretch/>
                  </pic:blipFill>
                  <pic:spPr bwMode="auto">
                    <a:xfrm>
                      <a:off x="0" y="0"/>
                      <a:ext cx="6120130" cy="3176190"/>
                    </a:xfrm>
                    <a:prstGeom prst="rect">
                      <a:avLst/>
                    </a:prstGeom>
                    <a:noFill/>
                    <a:ln>
                      <a:noFill/>
                    </a:ln>
                    <a:extLst>
                      <a:ext uri="{53640926-AAD7-44D8-BBD7-CCE9431645EC}">
                        <a14:shadowObscured xmlns:a14="http://schemas.microsoft.com/office/drawing/2010/main"/>
                      </a:ext>
                    </a:extLst>
                  </pic:spPr>
                </pic:pic>
              </a:graphicData>
            </a:graphic>
          </wp:inline>
        </w:drawing>
      </w:r>
    </w:p>
    <w:p w:rsidR="00E270E0" w:rsidRPr="0063596C" w:rsidRDefault="00E270E0" w:rsidP="00E270E0">
      <w:pPr>
        <w:pStyle w:val="Testonormale2"/>
        <w:spacing w:before="120" w:after="120"/>
        <w:ind w:firstLine="709"/>
        <w:jc w:val="both"/>
        <w:rPr>
          <w:rFonts w:asciiTheme="minorHAnsi" w:hAnsiTheme="minorHAnsi" w:cs="Arial"/>
          <w:color w:val="000000"/>
          <w:sz w:val="22"/>
          <w:szCs w:val="22"/>
        </w:rPr>
      </w:pPr>
      <w:r w:rsidRPr="00D67ECD">
        <w:rPr>
          <w:rFonts w:asciiTheme="minorHAnsi" w:hAnsiTheme="minorHAnsi" w:cs="Arial"/>
          <w:noProof/>
          <w:color w:val="000000"/>
          <w:sz w:val="22"/>
          <w:szCs w:val="22"/>
          <w:lang w:eastAsia="it-IT"/>
        </w:rPr>
        <w:lastRenderedPageBreak/>
        <w:drawing>
          <wp:inline distT="0" distB="0" distL="0" distR="0" wp14:anchorId="1C7EC51E" wp14:editId="465CC8EB">
            <wp:extent cx="6119464" cy="2060527"/>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60510"/>
                    <a:stretch/>
                  </pic:blipFill>
                  <pic:spPr bwMode="auto">
                    <a:xfrm>
                      <a:off x="0" y="0"/>
                      <a:ext cx="6120130" cy="2060751"/>
                    </a:xfrm>
                    <a:prstGeom prst="rect">
                      <a:avLst/>
                    </a:prstGeom>
                    <a:noFill/>
                    <a:ln>
                      <a:noFill/>
                    </a:ln>
                    <a:extLst>
                      <a:ext uri="{53640926-AAD7-44D8-BBD7-CCE9431645EC}">
                        <a14:shadowObscured xmlns:a14="http://schemas.microsoft.com/office/drawing/2010/main"/>
                      </a:ext>
                    </a:extLst>
                  </pic:spPr>
                </pic:pic>
              </a:graphicData>
            </a:graphic>
          </wp:inline>
        </w:drawing>
      </w:r>
    </w:p>
    <w:p w:rsidR="00E270E0" w:rsidRDefault="00E270E0" w:rsidP="00E270E0">
      <w:pPr>
        <w:pStyle w:val="Corpodeltesto21"/>
        <w:spacing w:after="60" w:line="240" w:lineRule="auto"/>
        <w:jc w:val="both"/>
        <w:outlineLvl w:val="2"/>
        <w:rPr>
          <w:rFonts w:asciiTheme="minorHAnsi" w:hAnsiTheme="minorHAnsi" w:cs="Arial"/>
          <w:b/>
          <w:color w:val="000000"/>
          <w:sz w:val="22"/>
          <w:szCs w:val="22"/>
        </w:rPr>
      </w:pPr>
      <w:r>
        <w:rPr>
          <w:rFonts w:asciiTheme="minorHAnsi" w:hAnsiTheme="minorHAnsi" w:cs="Arial"/>
          <w:b/>
          <w:color w:val="000000"/>
          <w:sz w:val="22"/>
          <w:szCs w:val="22"/>
        </w:rPr>
        <w:tab/>
      </w:r>
    </w:p>
    <w:bookmarkEnd w:id="3"/>
    <w:p w:rsidR="00E270E0" w:rsidRPr="00E6326E" w:rsidRDefault="00E270E0" w:rsidP="00E270E0">
      <w:pPr>
        <w:pStyle w:val="Testonormale2"/>
        <w:spacing w:before="120" w:after="120"/>
        <w:ind w:firstLine="709"/>
        <w:jc w:val="both"/>
        <w:rPr>
          <w:rFonts w:ascii="Arial" w:hAnsi="Arial" w:cs="Arial"/>
          <w:color w:val="000000"/>
          <w:sz w:val="12"/>
          <w:szCs w:val="12"/>
        </w:rPr>
      </w:pPr>
    </w:p>
    <w:p w:rsidR="00116897" w:rsidRPr="00E270E0" w:rsidRDefault="00E270E0" w:rsidP="00116897">
      <w:pPr>
        <w:jc w:val="both"/>
        <w:rPr>
          <w:b/>
        </w:rPr>
      </w:pPr>
      <w:r w:rsidRPr="00E270E0">
        <w:rPr>
          <w:b/>
        </w:rPr>
        <w:t>6</w:t>
      </w:r>
      <w:r w:rsidR="00116897" w:rsidRPr="00E270E0">
        <w:rPr>
          <w:b/>
        </w:rPr>
        <w:t xml:space="preserve">. Dagli obiettivi strategici agli obiettivi operativi </w:t>
      </w:r>
    </w:p>
    <w:p w:rsidR="00116897" w:rsidRDefault="00116897" w:rsidP="00116897">
      <w:pPr>
        <w:jc w:val="both"/>
      </w:pPr>
      <w:r>
        <w:t xml:space="preserve">Il processo di programmazione in azienda nasce dall’unione tra gli obiettivi derivanti dalla Legge Regionale n°5 del 2009 ed il Decreto Legge n°78 del 31 maggio 2010, con cui la Regione Sicilia si è avvalsa della possibilità concessale di chiedere la prosecuzione del Piano di Rientro nei termini indicati nel Patto per la Salute. Sulla base di tali indicazioni sono state individuate strategie condivise ed è stato avviato un processo di responsabilizzazione di tutti gli operatori aziendali. </w:t>
      </w:r>
    </w:p>
    <w:p w:rsidR="008503CE" w:rsidRDefault="00116897" w:rsidP="008503CE">
      <w:pPr>
        <w:jc w:val="both"/>
      </w:pPr>
      <w:r>
        <w:t>L’avvio del Processo di Valutazione sconta dei fisi</w:t>
      </w:r>
      <w:r w:rsidR="00713EF1">
        <w:t>ologici margini di imprecisione, del resto preventivate dalla</w:t>
      </w:r>
      <w:r>
        <w:t xml:space="preserve"> Commissione </w:t>
      </w:r>
      <w:r w:rsidR="00713EF1">
        <w:t xml:space="preserve">per la </w:t>
      </w:r>
      <w:r>
        <w:t>Valutazione</w:t>
      </w:r>
      <w:r w:rsidR="00713EF1">
        <w:t xml:space="preserve">, la </w:t>
      </w:r>
      <w:r>
        <w:t xml:space="preserve">Trasparenza </w:t>
      </w:r>
      <w:r w:rsidR="00713EF1">
        <w:t xml:space="preserve">e </w:t>
      </w:r>
      <w:r>
        <w:t xml:space="preserve">l’Integrità </w:t>
      </w:r>
      <w:r w:rsidR="00713EF1">
        <w:t xml:space="preserve">delle </w:t>
      </w:r>
      <w:r>
        <w:t>amministrazioni pubbliche che, con Delibera n°112 del 2010, ha formalmente introdotto il principio della</w:t>
      </w:r>
      <w:r w:rsidR="00713EF1">
        <w:t xml:space="preserve"> </w:t>
      </w:r>
      <w:r>
        <w:t>gradualità nell’adeguamento ai principi, oltre al</w:t>
      </w:r>
      <w:r w:rsidR="00713EF1">
        <w:t xml:space="preserve"> </w:t>
      </w:r>
      <w:r>
        <w:t xml:space="preserve">miglioramento </w:t>
      </w:r>
      <w:r>
        <w:tab/>
        <w:t xml:space="preserve">continuo del sistema di responsabilizzazione degli operatori basato sul Ciclo delle Performance.  </w:t>
      </w:r>
    </w:p>
    <w:p w:rsidR="00116897" w:rsidRDefault="00116897" w:rsidP="008503CE">
      <w:pPr>
        <w:jc w:val="both"/>
      </w:pPr>
      <w:r>
        <w:t xml:space="preserve">È stato previsto un processo di distribuzione a cascata degli obiettivi ed il </w:t>
      </w:r>
      <w:r w:rsidR="008503CE">
        <w:t>collegamento diretto</w:t>
      </w:r>
      <w:r>
        <w:t xml:space="preserve"> </w:t>
      </w:r>
      <w:r>
        <w:tab/>
      </w:r>
      <w:r w:rsidR="008503CE">
        <w:t xml:space="preserve">degli stessi </w:t>
      </w:r>
      <w:r>
        <w:t>ad un sistema</w:t>
      </w:r>
      <w:r w:rsidR="008503CE">
        <w:t xml:space="preserve"> </w:t>
      </w:r>
      <w:r>
        <w:t xml:space="preserve">di </w:t>
      </w:r>
      <w:r w:rsidR="008503CE">
        <w:t xml:space="preserve">indicatori </w:t>
      </w:r>
      <w:r>
        <w:t xml:space="preserve">che ha la caratteristica di essere misurabile, trasparente ed oggettivo. Contestualmente, sono stati individuati anche i criteri sulla base dei </w:t>
      </w:r>
      <w:r w:rsidR="008503CE">
        <w:t>quali procedere</w:t>
      </w:r>
      <w:r>
        <w:t xml:space="preserve"> alle diverse tipologie di valutazione, anche attraverso il sistema di determinazione dei risultati attesi e di ponderazione degli obiettivi. </w:t>
      </w:r>
    </w:p>
    <w:p w:rsidR="008503CE" w:rsidRDefault="00116897" w:rsidP="008503CE">
      <w:pPr>
        <w:jc w:val="both"/>
      </w:pPr>
      <w:r>
        <w:t xml:space="preserve">Si evidenziano nello schema sintetico qui riportato gli obiettivi programmatici dai quali, sulla base della metodologia sotto evidenziata, </w:t>
      </w:r>
      <w:r>
        <w:tab/>
        <w:t xml:space="preserve">sono individuabili gli obiettivi assegnati </w:t>
      </w:r>
      <w:r w:rsidR="008503CE">
        <w:t>a</w:t>
      </w:r>
      <w:r>
        <w:t xml:space="preserve">l personale </w:t>
      </w:r>
      <w:r w:rsidR="008503CE">
        <w:t xml:space="preserve">dirigente: </w:t>
      </w:r>
    </w:p>
    <w:p w:rsidR="00116897" w:rsidRDefault="009D43FF" w:rsidP="008503CE">
      <w:pPr>
        <w:pStyle w:val="Paragrafoelenco"/>
        <w:numPr>
          <w:ilvl w:val="0"/>
          <w:numId w:val="6"/>
        </w:numPr>
        <w:jc w:val="both"/>
      </w:pPr>
      <w:r>
        <w:t>m</w:t>
      </w:r>
      <w:r w:rsidR="00116897">
        <w:t>iglioramento dell’appropriatezza delle prestazioni sanitarie e contestuale verifica su</w:t>
      </w:r>
      <w:r w:rsidR="008503CE">
        <w:t xml:space="preserve"> </w:t>
      </w:r>
      <w:r w:rsidR="00116897">
        <w:t xml:space="preserve">qualità, efficacia ed efficienza delle prestazioni; </w:t>
      </w:r>
    </w:p>
    <w:p w:rsidR="009D43FF" w:rsidRDefault="009D43FF" w:rsidP="009D43FF">
      <w:pPr>
        <w:pStyle w:val="Paragrafoelenco"/>
        <w:numPr>
          <w:ilvl w:val="0"/>
          <w:numId w:val="6"/>
        </w:numPr>
        <w:jc w:val="both"/>
      </w:pPr>
      <w:r>
        <w:t>r</w:t>
      </w:r>
      <w:r w:rsidRPr="009D43FF">
        <w:t xml:space="preserve">imozione dei casi di duplicazione nell’offerta assistenziale;  </w:t>
      </w:r>
    </w:p>
    <w:p w:rsidR="009D43FF" w:rsidRDefault="009D43FF" w:rsidP="009D43FF">
      <w:pPr>
        <w:pStyle w:val="Paragrafoelenco"/>
        <w:numPr>
          <w:ilvl w:val="0"/>
          <w:numId w:val="6"/>
        </w:numPr>
        <w:jc w:val="both"/>
      </w:pPr>
      <w:r>
        <w:t>p</w:t>
      </w:r>
      <w:r w:rsidRPr="009D43FF">
        <w:t xml:space="preserve">otenziamento dell’attività di lungodegenza e riabilitazione; </w:t>
      </w:r>
    </w:p>
    <w:p w:rsidR="00116897" w:rsidRDefault="009D43FF" w:rsidP="009D43FF">
      <w:pPr>
        <w:pStyle w:val="Paragrafoelenco"/>
        <w:numPr>
          <w:ilvl w:val="0"/>
          <w:numId w:val="6"/>
        </w:numPr>
        <w:jc w:val="both"/>
      </w:pPr>
      <w:r>
        <w:t xml:space="preserve">mantenimento e riqualificazione </w:t>
      </w:r>
      <w:r w:rsidR="00116897">
        <w:t xml:space="preserve">dell’offerta </w:t>
      </w:r>
      <w:r>
        <w:t>assistenziale complessiva;</w:t>
      </w:r>
    </w:p>
    <w:p w:rsidR="00116897" w:rsidRDefault="009D43FF" w:rsidP="009D43FF">
      <w:pPr>
        <w:pStyle w:val="Paragrafoelenco"/>
        <w:numPr>
          <w:ilvl w:val="0"/>
          <w:numId w:val="6"/>
        </w:numPr>
        <w:jc w:val="both"/>
      </w:pPr>
      <w:r>
        <w:t>p</w:t>
      </w:r>
      <w:r w:rsidR="00116897">
        <w:t>otenziamento della</w:t>
      </w:r>
      <w:r>
        <w:t xml:space="preserve"> </w:t>
      </w:r>
      <w:r w:rsidR="00116897" w:rsidRPr="003D67E2">
        <w:rPr>
          <w:i/>
        </w:rPr>
        <w:t xml:space="preserve">customer </w:t>
      </w:r>
      <w:r w:rsidR="00116897" w:rsidRPr="003D67E2">
        <w:rPr>
          <w:i/>
        </w:rPr>
        <w:tab/>
        <w:t>satisfaction</w:t>
      </w:r>
      <w:r>
        <w:t xml:space="preserve"> </w:t>
      </w:r>
      <w:r w:rsidR="00116897">
        <w:t xml:space="preserve">con obbligo di verifica </w:t>
      </w:r>
      <w:r>
        <w:t xml:space="preserve">sulla percezione </w:t>
      </w:r>
      <w:r w:rsidR="00116897">
        <w:t>dell’utenza sui</w:t>
      </w:r>
      <w:r>
        <w:t xml:space="preserve"> </w:t>
      </w:r>
      <w:r w:rsidR="00116897">
        <w:t xml:space="preserve">servizi forniti; </w:t>
      </w:r>
    </w:p>
    <w:p w:rsidR="009D43FF" w:rsidRDefault="009D43FF" w:rsidP="009D43FF">
      <w:pPr>
        <w:pStyle w:val="Paragrafoelenco"/>
        <w:numPr>
          <w:ilvl w:val="0"/>
          <w:numId w:val="6"/>
        </w:numPr>
        <w:jc w:val="both"/>
      </w:pPr>
      <w:r>
        <w:t xml:space="preserve">modernizzazione dell’attività di controllo della gestione e implementazione di sistemi di responsabilizzazione degli operatori ispirati al ciclo della performance; </w:t>
      </w:r>
    </w:p>
    <w:p w:rsidR="009D43FF" w:rsidRDefault="009D43FF" w:rsidP="009D43FF">
      <w:pPr>
        <w:pStyle w:val="Paragrafoelenco"/>
        <w:numPr>
          <w:ilvl w:val="0"/>
          <w:numId w:val="6"/>
        </w:numPr>
        <w:jc w:val="both"/>
      </w:pPr>
      <w:r>
        <w:t>utilizzo del corretti setting assistenziali finalizzato a ridurre la produzione di prestazioni a rischio di inappropriatezza;</w:t>
      </w:r>
    </w:p>
    <w:p w:rsidR="009D43FF" w:rsidRDefault="009D43FF" w:rsidP="009D43FF">
      <w:pPr>
        <w:pStyle w:val="Paragrafoelenco"/>
        <w:numPr>
          <w:ilvl w:val="0"/>
          <w:numId w:val="6"/>
        </w:numPr>
        <w:jc w:val="both"/>
      </w:pPr>
      <w:r>
        <w:t>r</w:t>
      </w:r>
      <w:r w:rsidR="00116897">
        <w:t xml:space="preserve">ideterminazione dei Fondi Contrattuali (articolo16 L.R. 5/09);  </w:t>
      </w:r>
    </w:p>
    <w:p w:rsidR="009D43FF" w:rsidRDefault="009D43FF" w:rsidP="009D43FF">
      <w:pPr>
        <w:pStyle w:val="Paragrafoelenco"/>
        <w:numPr>
          <w:ilvl w:val="0"/>
          <w:numId w:val="6"/>
        </w:numPr>
        <w:jc w:val="both"/>
      </w:pPr>
      <w:r>
        <w:lastRenderedPageBreak/>
        <w:t>a</w:t>
      </w:r>
      <w:r w:rsidR="00116897">
        <w:t>desione alla programmazione interaziendale di bacino;</w:t>
      </w:r>
    </w:p>
    <w:p w:rsidR="00116897" w:rsidRDefault="009D43FF" w:rsidP="009D43FF">
      <w:pPr>
        <w:pStyle w:val="Paragrafoelenco"/>
        <w:numPr>
          <w:ilvl w:val="0"/>
          <w:numId w:val="6"/>
        </w:numPr>
        <w:jc w:val="both"/>
      </w:pPr>
      <w:r>
        <w:t>a</w:t>
      </w:r>
      <w:r w:rsidR="00116897">
        <w:t>desione al</w:t>
      </w:r>
      <w:r>
        <w:t>le procedure di gara regionale.</w:t>
      </w:r>
    </w:p>
    <w:p w:rsidR="0034754C" w:rsidRDefault="00116897" w:rsidP="0034754C">
      <w:pPr>
        <w:jc w:val="both"/>
      </w:pPr>
      <w:r>
        <w:t>L’Azienda, consapevole della complessità delle linee</w:t>
      </w:r>
      <w:r w:rsidR="009D43FF">
        <w:t xml:space="preserve"> </w:t>
      </w:r>
      <w:r>
        <w:t>programmatiche sopra</w:t>
      </w:r>
      <w:r w:rsidR="009D43FF">
        <w:t xml:space="preserve"> </w:t>
      </w:r>
      <w:r>
        <w:t xml:space="preserve">individuate, intende uniformarsi a quanto previsto per il piano della performance e, piuttosto che individuare nelle criticità sopra esposte un alibi per posticipare la definizione della programmazione aziendale, si è prefissata lo scopo di dare concreta applicazione al sistema di responsabilizzazione </w:t>
      </w:r>
      <w:r w:rsidR="009D43FF">
        <w:t>degli operatori</w:t>
      </w:r>
      <w:r>
        <w:t xml:space="preserve">, </w:t>
      </w:r>
      <w:r>
        <w:tab/>
        <w:t>avendo</w:t>
      </w:r>
      <w:r>
        <w:tab/>
        <w:t>individuato una batteria di obiettivi ed indicatori sulla base dei quali responsabil</w:t>
      </w:r>
      <w:r w:rsidR="0034754C">
        <w:t xml:space="preserve">izzare il personale dirigente. </w:t>
      </w:r>
    </w:p>
    <w:p w:rsidR="00252366" w:rsidRDefault="00116897" w:rsidP="0034754C">
      <w:pPr>
        <w:jc w:val="both"/>
      </w:pPr>
      <w:r>
        <w:t>In</w:t>
      </w:r>
      <w:r w:rsidR="00BF7EA5">
        <w:t xml:space="preserve">oltre, </w:t>
      </w:r>
      <w:r>
        <w:t xml:space="preserve">l’Azienda ha proseguito </w:t>
      </w:r>
      <w:r w:rsidR="0034754C">
        <w:t>il percorso</w:t>
      </w:r>
      <w:r>
        <w:t xml:space="preserve"> </w:t>
      </w:r>
      <w:r w:rsidR="0034754C">
        <w:t xml:space="preserve">della </w:t>
      </w:r>
      <w:r>
        <w:t xml:space="preserve">responsabilizzazione operatori, “individualizzando” </w:t>
      </w:r>
      <w:r w:rsidR="0034754C">
        <w:t>sulla base della regolamentazione adottata in Azienda gli obiettivi sopra elencati ed esplicitandoli ai Responsabili delle diverse Strutture.</w:t>
      </w:r>
    </w:p>
    <w:p w:rsidR="00252366" w:rsidRPr="00E270E0" w:rsidRDefault="00780470" w:rsidP="00780470">
      <w:pPr>
        <w:jc w:val="both"/>
        <w:rPr>
          <w:b/>
          <w:i/>
        </w:rPr>
      </w:pPr>
      <w:r w:rsidRPr="00E270E0">
        <w:rPr>
          <w:b/>
          <w:i/>
        </w:rPr>
        <w:t>Il processo di budgeting, valutazione e verifica dei risultati (titoli II e III D.Lgs.  150/09)</w:t>
      </w:r>
    </w:p>
    <w:p w:rsidR="00780470" w:rsidRDefault="00780470" w:rsidP="00780470">
      <w:pPr>
        <w:jc w:val="both"/>
      </w:pPr>
      <w:r>
        <w:t xml:space="preserve">Il Budget è lo strumento con il quale, annualmente, vengono trasformati piani e programmi aziendali in specifici obiettivi articolati rispetto alla struttura delle responsabilità organizzative ed economiche interne. Gli obiettivi in esso contenuti vengono definiti nel rispetto dei piani e dei programmi aziendali strategici scaturenti dalla </w:t>
      </w:r>
      <w:r w:rsidRPr="00780470">
        <w:rPr>
          <w:i/>
        </w:rPr>
        <w:t>mission</w:t>
      </w:r>
      <w:r>
        <w:t xml:space="preserve"> aziendale e dagli obiettivi individuati dall’Assessorato regionale alla Salute quale organo di indirizzo politico amministrativo. </w:t>
      </w:r>
    </w:p>
    <w:p w:rsidR="00780470" w:rsidRDefault="00780470" w:rsidP="00B77A1A">
      <w:pPr>
        <w:jc w:val="both"/>
      </w:pPr>
      <w:r>
        <w:t>Gli</w:t>
      </w:r>
      <w:r w:rsidR="00B77A1A">
        <w:t xml:space="preserve"> </w:t>
      </w:r>
      <w:r>
        <w:t>obiettivi</w:t>
      </w:r>
      <w:r w:rsidR="00B77A1A">
        <w:t xml:space="preserve"> </w:t>
      </w:r>
      <w:r>
        <w:t>contenuti</w:t>
      </w:r>
      <w:r w:rsidR="00B77A1A">
        <w:t xml:space="preserve"> </w:t>
      </w:r>
      <w:r>
        <w:t>nel budget</w:t>
      </w:r>
      <w:r w:rsidR="00B77A1A">
        <w:t xml:space="preserve"> </w:t>
      </w:r>
      <w:r>
        <w:t xml:space="preserve">rappresentano un parametro </w:t>
      </w:r>
      <w:r>
        <w:tab/>
        <w:t xml:space="preserve">di riferimento per la valutazione dei risultati conseguiti dall'organizzazione Aziendale e dalle singole </w:t>
      </w:r>
      <w:r>
        <w:tab/>
        <w:t xml:space="preserve">unità operative anche ai fini del sistema premiante. Infatti il sistema di budget è inteso come istituto con esso strettamente integrato.  </w:t>
      </w:r>
    </w:p>
    <w:p w:rsidR="00B77A1A" w:rsidRDefault="00780470" w:rsidP="000A1A28">
      <w:pPr>
        <w:jc w:val="both"/>
      </w:pPr>
      <w:r>
        <w:t xml:space="preserve">Il processo di budget avviene attraverso una negoziazione tra la Direzione Strategica </w:t>
      </w:r>
      <w:r w:rsidR="00B77A1A">
        <w:t xml:space="preserve">Aziendale </w:t>
      </w:r>
      <w:r w:rsidR="00B77A1A">
        <w:tab/>
        <w:t xml:space="preserve">(coadiuvato </w:t>
      </w:r>
      <w:r>
        <w:t>dal</w:t>
      </w:r>
      <w:r w:rsidR="00B77A1A">
        <w:t xml:space="preserve"> </w:t>
      </w:r>
      <w:r>
        <w:t xml:space="preserve">Comitato di </w:t>
      </w:r>
      <w:r>
        <w:tab/>
        <w:t xml:space="preserve">Budget </w:t>
      </w:r>
      <w:r>
        <w:tab/>
        <w:t>formalmente nominato) ed i Responsabili delle Strutture individuat</w:t>
      </w:r>
      <w:r w:rsidR="00B77A1A">
        <w:t>e</w:t>
      </w:r>
      <w:r>
        <w:t xml:space="preserve"> nel Piano dei Centri di Costo e Responsabilità aziendale. </w:t>
      </w:r>
      <w:r w:rsidR="00B77A1A">
        <w:t xml:space="preserve">Nelle </w:t>
      </w:r>
      <w:r>
        <w:t>singole schede di budget</w:t>
      </w:r>
      <w:r w:rsidR="00B77A1A">
        <w:t xml:space="preserve"> </w:t>
      </w:r>
      <w:r>
        <w:t xml:space="preserve">vengono individuati </w:t>
      </w:r>
      <w:r>
        <w:tab/>
        <w:t xml:space="preserve">sia </w:t>
      </w:r>
      <w:r w:rsidR="00B77A1A">
        <w:t xml:space="preserve">i risultati </w:t>
      </w:r>
      <w:r>
        <w:t xml:space="preserve">da raggiungere </w:t>
      </w:r>
      <w:r>
        <w:tab/>
        <w:t>che le attività da effettuare a risorse disponibili (</w:t>
      </w:r>
      <w:r w:rsidR="00B77A1A">
        <w:t>o, comunque</w:t>
      </w:r>
      <w:r>
        <w:t xml:space="preserve">, eventuali risorse aggiuntive la cui futura attribuzione è già stata decisa con apposito provvedimento). </w:t>
      </w:r>
      <w:r>
        <w:tab/>
      </w:r>
    </w:p>
    <w:p w:rsidR="00780470" w:rsidRDefault="00780470" w:rsidP="00B77A1A">
      <w:pPr>
        <w:jc w:val="both"/>
      </w:pPr>
      <w:r>
        <w:t>Si tratta, quindi, di</w:t>
      </w:r>
      <w:r w:rsidR="00B77A1A">
        <w:t xml:space="preserve"> </w:t>
      </w:r>
      <w:r>
        <w:t>un</w:t>
      </w:r>
      <w:r w:rsidR="00B77A1A">
        <w:t xml:space="preserve"> </w:t>
      </w:r>
      <w:r>
        <w:t xml:space="preserve">Budget Operativo che si basa sul miglioramento </w:t>
      </w:r>
      <w:r w:rsidR="00B77A1A">
        <w:t>nell’erogazione dei servizi e nell’impiego delle risorse strutturali assegnate mediante</w:t>
      </w:r>
      <w:r>
        <w:t xml:space="preserve"> l'esplicitazione contestuale di obiettivi di attività, di qualità e di monitoraggio interno. </w:t>
      </w:r>
    </w:p>
    <w:p w:rsidR="00780470" w:rsidRDefault="00780470" w:rsidP="00B77A1A">
      <w:pPr>
        <w:jc w:val="both"/>
      </w:pPr>
      <w:r>
        <w:t xml:space="preserve">In particolare: </w:t>
      </w:r>
    </w:p>
    <w:p w:rsidR="00780470" w:rsidRDefault="00B77A1A" w:rsidP="009157AE">
      <w:pPr>
        <w:pStyle w:val="Paragrafoelenco"/>
        <w:numPr>
          <w:ilvl w:val="0"/>
          <w:numId w:val="6"/>
        </w:numPr>
        <w:jc w:val="both"/>
      </w:pPr>
      <w:r w:rsidRPr="006F00BD">
        <w:rPr>
          <w:b/>
          <w:color w:val="0070C0"/>
        </w:rPr>
        <w:t>gli obiettivi strategici</w:t>
      </w:r>
      <w:r w:rsidRPr="006F00BD">
        <w:rPr>
          <w:color w:val="0070C0"/>
        </w:rPr>
        <w:t xml:space="preserve"> </w:t>
      </w:r>
      <w:r w:rsidR="00780470">
        <w:t>rispondono alla necessità di perseguire le strategie  individuate dall’organo</w:t>
      </w:r>
      <w:r w:rsidR="009157AE">
        <w:t xml:space="preserve"> </w:t>
      </w:r>
      <w:r w:rsidR="00780470">
        <w:t>di</w:t>
      </w:r>
      <w:r w:rsidR="009157AE">
        <w:t xml:space="preserve"> indirizzo </w:t>
      </w:r>
      <w:r w:rsidR="00780470">
        <w:t>politico-amministrativo e vengono assegnati, a</w:t>
      </w:r>
      <w:r w:rsidR="009157AE">
        <w:t xml:space="preserve"> cascata, ai Dipartimenti/UU.OO. </w:t>
      </w:r>
      <w:r w:rsidR="00780470">
        <w:t xml:space="preserve">coinvolte nella loro realizzazione; </w:t>
      </w:r>
    </w:p>
    <w:p w:rsidR="00780470" w:rsidRDefault="009157AE" w:rsidP="009157AE">
      <w:pPr>
        <w:pStyle w:val="Paragrafoelenco"/>
        <w:numPr>
          <w:ilvl w:val="0"/>
          <w:numId w:val="6"/>
        </w:numPr>
        <w:jc w:val="both"/>
      </w:pPr>
      <w:r w:rsidRPr="006F00BD">
        <w:rPr>
          <w:b/>
          <w:color w:val="0070C0"/>
        </w:rPr>
        <w:t>gli obiettivi sull’attività</w:t>
      </w:r>
      <w:r>
        <w:t xml:space="preserve"> svolta, </w:t>
      </w:r>
      <w:r w:rsidR="00780470">
        <w:t>anch’essi declinati per ogni singola uni</w:t>
      </w:r>
      <w:r w:rsidR="006F00BD">
        <w:t xml:space="preserve">tà operativa.  Essi </w:t>
      </w:r>
      <w:r>
        <w:t xml:space="preserve">rispondono alle linee di indirizzo </w:t>
      </w:r>
      <w:r w:rsidR="00780470">
        <w:t>clinic</w:t>
      </w:r>
      <w:r>
        <w:t>o</w:t>
      </w:r>
      <w:r w:rsidR="00780470">
        <w:t xml:space="preserve"> da seguire </w:t>
      </w:r>
      <w:r>
        <w:t xml:space="preserve">nell’erogazione </w:t>
      </w:r>
      <w:r w:rsidR="00780470">
        <w:t>delle</w:t>
      </w:r>
      <w:r>
        <w:t xml:space="preserve"> </w:t>
      </w:r>
      <w:r w:rsidR="00780470">
        <w:t xml:space="preserve">prestazioni, </w:t>
      </w:r>
      <w:r>
        <w:t xml:space="preserve">nell’ottica dell’efficientamento e della appropriatezza; </w:t>
      </w:r>
    </w:p>
    <w:p w:rsidR="00780470" w:rsidRDefault="009157AE" w:rsidP="009157AE">
      <w:pPr>
        <w:pStyle w:val="Paragrafoelenco"/>
        <w:numPr>
          <w:ilvl w:val="0"/>
          <w:numId w:val="6"/>
        </w:numPr>
        <w:jc w:val="both"/>
      </w:pPr>
      <w:r w:rsidRPr="006F00BD">
        <w:rPr>
          <w:b/>
          <w:color w:val="0070C0"/>
        </w:rPr>
        <w:t>gli obiettivi di qualità</w:t>
      </w:r>
      <w:r>
        <w:t xml:space="preserve"> </w:t>
      </w:r>
      <w:r w:rsidR="00780470">
        <w:t xml:space="preserve">(individuati coerentemente con i requisiti di accreditamento </w:t>
      </w:r>
      <w:r>
        <w:t xml:space="preserve">istituzionale ex </w:t>
      </w:r>
      <w:r w:rsidR="00780470">
        <w:t>DA</w:t>
      </w:r>
      <w:r>
        <w:t xml:space="preserve"> </w:t>
      </w:r>
      <w:r w:rsidR="00780470">
        <w:t>n°890/2002)</w:t>
      </w:r>
      <w:r>
        <w:t xml:space="preserve"> </w:t>
      </w:r>
      <w:r w:rsidR="00780470">
        <w:t>prevedono progetti di valutazione,</w:t>
      </w:r>
      <w:r>
        <w:t xml:space="preserve"> </w:t>
      </w:r>
      <w:r w:rsidR="00780470">
        <w:t>verifica</w:t>
      </w:r>
      <w:r>
        <w:t xml:space="preserve"> </w:t>
      </w:r>
      <w:r w:rsidR="00780470">
        <w:t xml:space="preserve">e miglioramento della qualità, gestione del rischio clinico, elaborazione di nuove linee  guida e/o percorsi diagnostici, implementazione o mantenimento degli standard JCI; </w:t>
      </w:r>
    </w:p>
    <w:p w:rsidR="006F00BD" w:rsidRDefault="009157AE" w:rsidP="00EF2216">
      <w:pPr>
        <w:pStyle w:val="Paragrafoelenco"/>
        <w:numPr>
          <w:ilvl w:val="0"/>
          <w:numId w:val="6"/>
        </w:numPr>
        <w:jc w:val="both"/>
      </w:pPr>
      <w:r w:rsidRPr="006F00BD">
        <w:rPr>
          <w:b/>
          <w:color w:val="0070C0"/>
        </w:rPr>
        <w:lastRenderedPageBreak/>
        <w:t>gli obiettivi economico-finanziari</w:t>
      </w:r>
      <w:r>
        <w:t xml:space="preserve"> </w:t>
      </w:r>
      <w:r w:rsidR="00780470">
        <w:t>prevedono il rispetto</w:t>
      </w:r>
      <w:r>
        <w:t xml:space="preserve"> </w:t>
      </w:r>
      <w:r w:rsidR="00780470">
        <w:t xml:space="preserve">del budget relativo ai costi diretti, il contenimento del rapporto costi diretti/ricavi e l’ottimizzazione della gestione </w:t>
      </w:r>
      <w:r w:rsidR="006F00BD">
        <w:t>dei magazzini di reparto;</w:t>
      </w:r>
    </w:p>
    <w:p w:rsidR="00780470" w:rsidRDefault="006F00BD" w:rsidP="006F00BD">
      <w:pPr>
        <w:pStyle w:val="Paragrafoelenco"/>
        <w:numPr>
          <w:ilvl w:val="0"/>
          <w:numId w:val="6"/>
        </w:numPr>
        <w:jc w:val="both"/>
      </w:pPr>
      <w:r w:rsidRPr="006F00BD">
        <w:rPr>
          <w:b/>
          <w:color w:val="0070C0"/>
        </w:rPr>
        <w:t xml:space="preserve">gli obiettivi riguardanti la sicurezza </w:t>
      </w:r>
      <w:r w:rsidR="00780470" w:rsidRPr="006F00BD">
        <w:rPr>
          <w:b/>
          <w:color w:val="0070C0"/>
        </w:rPr>
        <w:t>del luogo di lavoro</w:t>
      </w:r>
      <w:r w:rsidR="00780470">
        <w:t xml:space="preserve"> prevedono</w:t>
      </w:r>
      <w:r>
        <w:t xml:space="preserve"> </w:t>
      </w:r>
      <w:r w:rsidR="00780470">
        <w:t>l’implementazione,  l’app</w:t>
      </w:r>
      <w:r>
        <w:t xml:space="preserve">licazione </w:t>
      </w:r>
      <w:r w:rsidR="00780470">
        <w:t>e il periodico controllo delle misure preventive e protettive</w:t>
      </w:r>
      <w:r>
        <w:t xml:space="preserve"> </w:t>
      </w:r>
      <w:r w:rsidR="00780470">
        <w:t>per</w:t>
      </w:r>
      <w:r>
        <w:t xml:space="preserve"> </w:t>
      </w:r>
      <w:r w:rsidR="00780470">
        <w:t>la</w:t>
      </w:r>
      <w:r>
        <w:t xml:space="preserve"> </w:t>
      </w:r>
      <w:r w:rsidR="00780470">
        <w:t xml:space="preserve">sicurezza e la salubrità degli ambienti di lavoro. </w:t>
      </w:r>
    </w:p>
    <w:p w:rsidR="00F7104F" w:rsidRDefault="00F7104F" w:rsidP="00F7104F">
      <w:pPr>
        <w:pStyle w:val="Paragrafoelenco"/>
        <w:jc w:val="both"/>
      </w:pPr>
    </w:p>
    <w:p w:rsidR="006F00BD" w:rsidRDefault="00780470" w:rsidP="00C56003">
      <w:pPr>
        <w:jc w:val="both"/>
      </w:pPr>
      <w:r>
        <w:t xml:space="preserve">Tale procedura prevede la delega delle fasi successive ai Responsabili di struttura, ai quali compete l’onere di declinare gli obiettivi della struttura alle diverse figure inquadrate all’interno della struttura stessa e di porre le basi per il loro pieno coinvolgimento. Infatti tali </w:t>
      </w:r>
      <w:r w:rsidR="006F00BD">
        <w:t>adempimenti, attraverso</w:t>
      </w:r>
      <w:r>
        <w:t xml:space="preserve"> la formalizzazione amministrativa </w:t>
      </w:r>
      <w:r>
        <w:tab/>
        <w:t xml:space="preserve">del </w:t>
      </w:r>
      <w:r w:rsidR="006F00BD">
        <w:t xml:space="preserve">budget </w:t>
      </w:r>
      <w:r>
        <w:t xml:space="preserve">di struttura al </w:t>
      </w:r>
      <w:r w:rsidR="006F00BD">
        <w:t xml:space="preserve">momento </w:t>
      </w:r>
      <w:r>
        <w:t>della relativa negoziazione e definizione, devono garantire i principi contrattualmente sanciti anche sui criteri</w:t>
      </w:r>
      <w:r w:rsidR="00C56003">
        <w:t xml:space="preserve"> </w:t>
      </w:r>
      <w:r w:rsidR="006F00BD">
        <w:t xml:space="preserve">utilizzati ai fini di valutazione e verifica, e di conseguenza della distribuzione del salario di risultato. Ciò si concretizza nella correlazione con i criteri sulla base dei quali il personale (sia dirigenziale che del comparto) sarà, a valle, individualmente valutato. </w:t>
      </w:r>
    </w:p>
    <w:p w:rsidR="00780470" w:rsidRDefault="006F00BD" w:rsidP="00C56003">
      <w:pPr>
        <w:jc w:val="both"/>
      </w:pPr>
      <w:r>
        <w:t xml:space="preserve">A consuntivo, la Direzione Generale, attraverso gli organi </w:t>
      </w:r>
      <w:r w:rsidR="00C56003">
        <w:t xml:space="preserve">a </w:t>
      </w:r>
      <w:r>
        <w:t>tale</w:t>
      </w:r>
      <w:r w:rsidR="00C56003">
        <w:t xml:space="preserve"> </w:t>
      </w:r>
      <w:r>
        <w:t xml:space="preserve">procedura delegati, procede alla verifica dei risultati raggiunti sia per la valutazione che per l’erogazione della retribuzione di risultato. La verifica si basa sulla regolamentazione interna di vari istituti </w:t>
      </w:r>
      <w:r w:rsidR="00C56003">
        <w:t>contrattuali (</w:t>
      </w:r>
      <w:r>
        <w:t xml:space="preserve">per la quale </w:t>
      </w:r>
      <w:r w:rsidR="00C56003">
        <w:t>è</w:t>
      </w:r>
      <w:r>
        <w:t xml:space="preserve"> prevista la rimodulazione in corso d’anno anche in ossequio a quanto disposto dal </w:t>
      </w:r>
      <w:r w:rsidR="00C56003">
        <w:t>t</w:t>
      </w:r>
      <w:r>
        <w:t>itolo III del D.Lgs. n°150/09), ed effettuata dall’organo preposto alla valutazione aziendale che tiene conto di eventuali controdeduzioni in caso di mancato raggiungimento o scostamento rispetto ai valori attesi.</w:t>
      </w:r>
    </w:p>
    <w:p w:rsidR="000A1A28" w:rsidRDefault="000A1A28" w:rsidP="00C56003">
      <w:pPr>
        <w:jc w:val="both"/>
      </w:pPr>
    </w:p>
    <w:p w:rsidR="00780470" w:rsidRPr="00E270E0" w:rsidRDefault="004A39EE" w:rsidP="00E270E0">
      <w:pPr>
        <w:pStyle w:val="Paragrafoelenco"/>
        <w:numPr>
          <w:ilvl w:val="1"/>
          <w:numId w:val="23"/>
        </w:numPr>
        <w:jc w:val="both"/>
        <w:rPr>
          <w:b/>
          <w:i/>
          <w:color w:val="0070C0"/>
        </w:rPr>
      </w:pPr>
      <w:r w:rsidRPr="00E270E0">
        <w:rPr>
          <w:b/>
          <w:i/>
          <w:color w:val="0070C0"/>
        </w:rPr>
        <w:t>Obiettivi assegnati al personale dirigenziale</w:t>
      </w:r>
    </w:p>
    <w:p w:rsidR="004A39EE" w:rsidRPr="004A39EE" w:rsidRDefault="004A39EE" w:rsidP="004A39EE">
      <w:pPr>
        <w:jc w:val="both"/>
      </w:pPr>
      <w:r w:rsidRPr="004A39EE">
        <w:t xml:space="preserve">Si riportano di seguito </w:t>
      </w:r>
      <w:r w:rsidR="00913922">
        <w:t xml:space="preserve">due </w:t>
      </w:r>
      <w:r w:rsidRPr="004A39EE">
        <w:t xml:space="preserve">tipologie di obiettivi che saranno, compatibilmente con i limiti derivanti da ogni eventuale riorganizzazione aziendale, gli obiettivi di pertinenza rispettivamente: </w:t>
      </w:r>
    </w:p>
    <w:p w:rsidR="004A39EE" w:rsidRPr="004A39EE" w:rsidRDefault="004A39EE" w:rsidP="004A39EE">
      <w:pPr>
        <w:pStyle w:val="Paragrafoelenco"/>
        <w:numPr>
          <w:ilvl w:val="0"/>
          <w:numId w:val="14"/>
        </w:numPr>
        <w:jc w:val="both"/>
      </w:pPr>
      <w:r>
        <w:t>delle Unità Operative Sanitarie</w:t>
      </w:r>
    </w:p>
    <w:p w:rsidR="004A39EE" w:rsidRPr="004A39EE" w:rsidRDefault="004A39EE" w:rsidP="004A39EE">
      <w:pPr>
        <w:pStyle w:val="Paragrafoelenco"/>
        <w:numPr>
          <w:ilvl w:val="0"/>
          <w:numId w:val="14"/>
        </w:numPr>
        <w:jc w:val="both"/>
      </w:pPr>
      <w:r w:rsidRPr="004A39EE">
        <w:t xml:space="preserve">delle Unità Operative del Dipartimento Amministrativo </w:t>
      </w:r>
    </w:p>
    <w:p w:rsidR="004A39EE" w:rsidRPr="004A39EE" w:rsidRDefault="004A39EE" w:rsidP="004A39EE">
      <w:pPr>
        <w:pStyle w:val="Paragrafoelenco"/>
        <w:jc w:val="both"/>
      </w:pPr>
      <w:r w:rsidRPr="004A39EE">
        <w:t xml:space="preserve"> </w:t>
      </w:r>
    </w:p>
    <w:p w:rsidR="004A39EE" w:rsidRPr="004A39EE" w:rsidRDefault="004A39EE" w:rsidP="004A39EE">
      <w:pPr>
        <w:jc w:val="both"/>
      </w:pPr>
      <w:r w:rsidRPr="004A39EE">
        <w:t xml:space="preserve">Si ribadisce che tali obiettivi costituiscono l’imprescindibile </w:t>
      </w:r>
      <w:r>
        <w:t xml:space="preserve">presupposto </w:t>
      </w:r>
      <w:r w:rsidRPr="004A39EE">
        <w:t xml:space="preserve">per </w:t>
      </w:r>
      <w:r>
        <w:t>la</w:t>
      </w:r>
      <w:r w:rsidR="00B57922">
        <w:t xml:space="preserve"> </w:t>
      </w:r>
      <w:r w:rsidRPr="004A39EE">
        <w:t>responsabilizzazione di tutte le figure professionali.</w:t>
      </w:r>
    </w:p>
    <w:p w:rsidR="004A39EE" w:rsidRPr="004A39EE" w:rsidRDefault="004A39EE" w:rsidP="004A39EE">
      <w:pPr>
        <w:pStyle w:val="Paragrafoelenco"/>
        <w:jc w:val="both"/>
      </w:pPr>
    </w:p>
    <w:p w:rsidR="004A39EE" w:rsidRDefault="004A39EE" w:rsidP="004A39EE">
      <w:pPr>
        <w:pStyle w:val="Paragrafoelenco"/>
        <w:jc w:val="both"/>
        <w:rPr>
          <w:b/>
        </w:rPr>
      </w:pPr>
    </w:p>
    <w:p w:rsidR="00BF7EA5" w:rsidRDefault="00BF7EA5" w:rsidP="004A39EE">
      <w:pPr>
        <w:pStyle w:val="Paragrafoelenco"/>
        <w:jc w:val="both"/>
        <w:rPr>
          <w:b/>
        </w:rPr>
      </w:pPr>
    </w:p>
    <w:p w:rsidR="00BF7EA5" w:rsidRDefault="00BF7EA5" w:rsidP="004A39EE">
      <w:pPr>
        <w:pStyle w:val="Paragrafoelenco"/>
        <w:jc w:val="both"/>
        <w:rPr>
          <w:b/>
        </w:rPr>
      </w:pPr>
    </w:p>
    <w:p w:rsidR="00BF7EA5" w:rsidRDefault="00BF7EA5" w:rsidP="004A39EE">
      <w:pPr>
        <w:pStyle w:val="Paragrafoelenco"/>
        <w:jc w:val="both"/>
        <w:rPr>
          <w:b/>
        </w:rPr>
      </w:pPr>
    </w:p>
    <w:p w:rsidR="00913922" w:rsidRDefault="00913922" w:rsidP="004A39EE">
      <w:pPr>
        <w:pStyle w:val="Paragrafoelenco"/>
        <w:jc w:val="both"/>
        <w:rPr>
          <w:b/>
        </w:rPr>
      </w:pPr>
    </w:p>
    <w:p w:rsidR="00BF7EA5" w:rsidRDefault="00BF7EA5" w:rsidP="004A39EE">
      <w:pPr>
        <w:pStyle w:val="Paragrafoelenco"/>
        <w:jc w:val="both"/>
        <w:rPr>
          <w:b/>
        </w:rPr>
      </w:pPr>
    </w:p>
    <w:p w:rsidR="00BF7EA5" w:rsidRDefault="00BF7EA5" w:rsidP="004A39EE">
      <w:pPr>
        <w:pStyle w:val="Paragrafoelenco"/>
        <w:jc w:val="both"/>
        <w:rPr>
          <w:b/>
        </w:rPr>
      </w:pPr>
    </w:p>
    <w:p w:rsidR="00BF7EA5" w:rsidRDefault="00BF7EA5" w:rsidP="004A39EE">
      <w:pPr>
        <w:pStyle w:val="Paragrafoelenco"/>
        <w:jc w:val="both"/>
        <w:rPr>
          <w:b/>
        </w:rPr>
      </w:pPr>
    </w:p>
    <w:p w:rsidR="00BF7EA5" w:rsidRDefault="00BF7EA5" w:rsidP="004A39EE">
      <w:pPr>
        <w:pStyle w:val="Paragrafoelenco"/>
        <w:jc w:val="both"/>
        <w:rPr>
          <w:b/>
        </w:rPr>
      </w:pPr>
    </w:p>
    <w:p w:rsidR="00BF7EA5" w:rsidRDefault="00BF7EA5" w:rsidP="004A39EE">
      <w:pPr>
        <w:pStyle w:val="Paragrafoelenco"/>
        <w:jc w:val="both"/>
        <w:rPr>
          <w:b/>
        </w:rPr>
      </w:pPr>
    </w:p>
    <w:p w:rsidR="00BF7EA5" w:rsidRDefault="00FD1963" w:rsidP="004A39EE">
      <w:pPr>
        <w:pStyle w:val="Paragrafoelenco"/>
        <w:jc w:val="both"/>
        <w:rPr>
          <w:b/>
        </w:rPr>
      </w:pPr>
      <w:r>
        <w:rPr>
          <w:b/>
        </w:rPr>
        <w:lastRenderedPageBreak/>
        <w:t xml:space="preserve">Principali obiettivi delle UUOO </w:t>
      </w:r>
      <w:r w:rsidR="00913922">
        <w:rPr>
          <w:b/>
        </w:rPr>
        <w:t>Sanitari</w:t>
      </w:r>
      <w:r>
        <w:rPr>
          <w:b/>
        </w:rPr>
        <w:t>e</w:t>
      </w:r>
    </w:p>
    <w:p w:rsidR="00913922" w:rsidRDefault="00913922" w:rsidP="004A39EE">
      <w:pPr>
        <w:pStyle w:val="Paragrafoelenco"/>
        <w:jc w:val="both"/>
        <w:rPr>
          <w:b/>
        </w:rPr>
      </w:pPr>
    </w:p>
    <w:p w:rsidR="00913922" w:rsidRDefault="00913922" w:rsidP="004A39EE">
      <w:pPr>
        <w:pStyle w:val="Paragrafoelenco"/>
        <w:jc w:val="both"/>
        <w:rPr>
          <w:b/>
        </w:rPr>
      </w:pPr>
    </w:p>
    <w:p w:rsidR="00913922" w:rsidRDefault="00913922" w:rsidP="004A39EE">
      <w:pPr>
        <w:pStyle w:val="Paragrafoelenco"/>
        <w:jc w:val="both"/>
        <w:rPr>
          <w:b/>
        </w:rPr>
      </w:pPr>
      <w:r>
        <w:rPr>
          <w:noProof/>
          <w:lang w:eastAsia="it-IT"/>
        </w:rPr>
        <w:drawing>
          <wp:inline distT="0" distB="0" distL="0" distR="0" wp14:anchorId="5A43D164" wp14:editId="12C24E5F">
            <wp:extent cx="6120130" cy="735647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7356475"/>
                    </a:xfrm>
                    <a:prstGeom prst="rect">
                      <a:avLst/>
                    </a:prstGeom>
                  </pic:spPr>
                </pic:pic>
              </a:graphicData>
            </a:graphic>
          </wp:inline>
        </w:drawing>
      </w:r>
    </w:p>
    <w:p w:rsidR="00913922" w:rsidRDefault="00913922" w:rsidP="004A39EE">
      <w:pPr>
        <w:pStyle w:val="Paragrafoelenco"/>
        <w:jc w:val="both"/>
        <w:rPr>
          <w:b/>
        </w:rPr>
      </w:pPr>
    </w:p>
    <w:p w:rsidR="00913922" w:rsidRDefault="00913922" w:rsidP="004A39EE">
      <w:pPr>
        <w:pStyle w:val="Paragrafoelenco"/>
        <w:jc w:val="both"/>
        <w:rPr>
          <w:b/>
        </w:rPr>
      </w:pPr>
    </w:p>
    <w:p w:rsidR="00913922" w:rsidRDefault="00913922" w:rsidP="004A39EE">
      <w:pPr>
        <w:pStyle w:val="Paragrafoelenco"/>
        <w:jc w:val="both"/>
        <w:rPr>
          <w:b/>
        </w:rPr>
      </w:pPr>
    </w:p>
    <w:p w:rsidR="00913922" w:rsidRDefault="00913922" w:rsidP="004A39EE">
      <w:pPr>
        <w:pStyle w:val="Paragrafoelenco"/>
        <w:jc w:val="both"/>
        <w:rPr>
          <w:b/>
        </w:rPr>
      </w:pPr>
    </w:p>
    <w:p w:rsidR="00913922" w:rsidRDefault="00913922" w:rsidP="004A39EE">
      <w:pPr>
        <w:pStyle w:val="Paragrafoelenco"/>
        <w:jc w:val="both"/>
        <w:rPr>
          <w:b/>
        </w:rPr>
      </w:pPr>
    </w:p>
    <w:p w:rsidR="00913922" w:rsidRDefault="00913922" w:rsidP="004A39EE">
      <w:pPr>
        <w:pStyle w:val="Paragrafoelenco"/>
        <w:jc w:val="both"/>
        <w:rPr>
          <w:b/>
        </w:rPr>
      </w:pPr>
      <w:r>
        <w:rPr>
          <w:noProof/>
          <w:lang w:eastAsia="it-IT"/>
        </w:rPr>
        <w:lastRenderedPageBreak/>
        <w:drawing>
          <wp:inline distT="0" distB="0" distL="0" distR="0" wp14:anchorId="169F0DB6" wp14:editId="5A6A4549">
            <wp:extent cx="6120130" cy="3401060"/>
            <wp:effectExtent l="0" t="0" r="0" b="889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401060"/>
                    </a:xfrm>
                    <a:prstGeom prst="rect">
                      <a:avLst/>
                    </a:prstGeom>
                  </pic:spPr>
                </pic:pic>
              </a:graphicData>
            </a:graphic>
          </wp:inline>
        </w:drawing>
      </w:r>
    </w:p>
    <w:p w:rsidR="00BF7EA5" w:rsidRDefault="00BF7EA5" w:rsidP="004A39EE">
      <w:pPr>
        <w:pStyle w:val="Paragrafoelenco"/>
        <w:jc w:val="both"/>
        <w:rPr>
          <w:b/>
        </w:rPr>
      </w:pPr>
    </w:p>
    <w:p w:rsidR="00B57922" w:rsidRDefault="00B57922" w:rsidP="004A39EE">
      <w:pPr>
        <w:pStyle w:val="Paragrafoelenco"/>
        <w:jc w:val="both"/>
        <w:rPr>
          <w:b/>
        </w:rPr>
      </w:pPr>
      <w:r w:rsidRPr="00B57922">
        <w:rPr>
          <w:b/>
          <w:noProof/>
          <w:lang w:eastAsia="it-IT"/>
        </w:rPr>
        <w:lastRenderedPageBreak/>
        <w:drawing>
          <wp:inline distT="0" distB="0" distL="0" distR="0">
            <wp:extent cx="5618446" cy="8826500"/>
            <wp:effectExtent l="0" t="0" r="190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0873" cy="8830313"/>
                    </a:xfrm>
                    <a:prstGeom prst="rect">
                      <a:avLst/>
                    </a:prstGeom>
                    <a:noFill/>
                    <a:ln>
                      <a:noFill/>
                    </a:ln>
                  </pic:spPr>
                </pic:pic>
              </a:graphicData>
            </a:graphic>
          </wp:inline>
        </w:drawing>
      </w:r>
    </w:p>
    <w:p w:rsidR="00B57922" w:rsidRDefault="00B57922" w:rsidP="004A39EE">
      <w:pPr>
        <w:pStyle w:val="Paragrafoelenco"/>
        <w:jc w:val="both"/>
        <w:rPr>
          <w:b/>
        </w:rPr>
      </w:pPr>
    </w:p>
    <w:p w:rsidR="009A5848" w:rsidRPr="0051467B" w:rsidRDefault="00E16D35" w:rsidP="0051467B">
      <w:pPr>
        <w:jc w:val="both"/>
        <w:rPr>
          <w:b/>
        </w:rPr>
      </w:pPr>
      <w:r>
        <w:rPr>
          <w:b/>
        </w:rPr>
        <w:t>7</w:t>
      </w:r>
      <w:r w:rsidR="009A5848" w:rsidRPr="0051467B">
        <w:rPr>
          <w:b/>
        </w:rPr>
        <w:t xml:space="preserve">.  Il processo del ciclo di gestione della performance </w:t>
      </w:r>
    </w:p>
    <w:p w:rsidR="009A5848" w:rsidRPr="009A5848" w:rsidRDefault="00E16D35" w:rsidP="0051467B">
      <w:pPr>
        <w:jc w:val="both"/>
        <w:rPr>
          <w:b/>
          <w:i/>
          <w:color w:val="0070C0"/>
        </w:rPr>
      </w:pPr>
      <w:r>
        <w:rPr>
          <w:b/>
          <w:i/>
          <w:color w:val="0070C0"/>
        </w:rPr>
        <w:t>7</w:t>
      </w:r>
      <w:r w:rsidR="009A5848" w:rsidRPr="009A5848">
        <w:rPr>
          <w:b/>
          <w:i/>
          <w:color w:val="0070C0"/>
        </w:rPr>
        <w:t xml:space="preserve">.1 Fasi, soggetti e tempi del processo di redazione del Piano della performance </w:t>
      </w:r>
    </w:p>
    <w:p w:rsidR="009A5848" w:rsidRPr="009A5848" w:rsidRDefault="009A5848" w:rsidP="0051467B">
      <w:pPr>
        <w:jc w:val="both"/>
      </w:pPr>
      <w:r w:rsidRPr="009A5848">
        <w:t>La gestione della performance, non si compone del solo processo di budget ma coinvolge tutto il personale dirigente e dipendente dell’Azienda, ciascuno in</w:t>
      </w:r>
      <w:r>
        <w:t xml:space="preserve"> r</w:t>
      </w:r>
      <w:r w:rsidRPr="009A5848">
        <w:t>elazione al ruolo</w:t>
      </w:r>
      <w:r>
        <w:t xml:space="preserve"> </w:t>
      </w:r>
      <w:r w:rsidRPr="009A5848">
        <w:t>ricoperto.</w:t>
      </w:r>
      <w:r>
        <w:t xml:space="preserve"> Attraverso </w:t>
      </w:r>
      <w:r w:rsidRPr="009A5848">
        <w:t xml:space="preserve">la applicazione di questo processo, le diverse articolazioni aziendali </w:t>
      </w:r>
      <w:r>
        <w:t xml:space="preserve">possono </w:t>
      </w:r>
      <w:r w:rsidRPr="009A5848">
        <w:t>individuare le priorità,</w:t>
      </w:r>
      <w:r>
        <w:t xml:space="preserve"> </w:t>
      </w:r>
      <w:r w:rsidRPr="009A5848">
        <w:t xml:space="preserve">le attività da realizzare, gli obiettivi e il comportamento atteso da parte di tutti i dipendenti. </w:t>
      </w:r>
    </w:p>
    <w:p w:rsidR="009A5848" w:rsidRDefault="009A5848" w:rsidP="0051467B">
      <w:pPr>
        <w:jc w:val="both"/>
      </w:pPr>
      <w:r w:rsidRPr="009A5848">
        <w:t>Il ciclo completo di Gestione della Performance si articola nelle seguenti fasi</w:t>
      </w:r>
      <w:r w:rsidR="008C0D31">
        <w:t xml:space="preserve"> e </w:t>
      </w:r>
      <w:r w:rsidRPr="009A5848">
        <w:t>le relative responsabilità e</w:t>
      </w:r>
      <w:r>
        <w:t xml:space="preserve"> </w:t>
      </w:r>
      <w:r w:rsidRPr="009A5848">
        <w:t xml:space="preserve">coinvolgimenti, secondo lo schema proposto nelle Linee di indirizzo incorporate nel D.A. n°1821 del 26 settembre 2011. </w:t>
      </w:r>
    </w:p>
    <w:p w:rsidR="00E75E05" w:rsidRDefault="00E75E05" w:rsidP="009A5848">
      <w:pPr>
        <w:pStyle w:val="Paragrafoelenco"/>
        <w:jc w:val="both"/>
      </w:pPr>
    </w:p>
    <w:p w:rsidR="00C750D2" w:rsidRDefault="00E75E05" w:rsidP="00C750D2">
      <w:pPr>
        <w:pStyle w:val="Paragrafoelenco"/>
        <w:jc w:val="both"/>
        <w:rPr>
          <w:b/>
          <w:i/>
          <w:color w:val="0070C0"/>
        </w:rPr>
      </w:pPr>
      <w:r>
        <w:rPr>
          <w:noProof/>
          <w:lang w:eastAsia="it-IT"/>
        </w:rPr>
        <w:drawing>
          <wp:inline distT="0" distB="0" distL="0" distR="0" wp14:anchorId="25AFE067" wp14:editId="13791C96">
            <wp:extent cx="5693734" cy="4273550"/>
            <wp:effectExtent l="0" t="0" r="254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4420" cy="4274065"/>
                    </a:xfrm>
                    <a:prstGeom prst="rect">
                      <a:avLst/>
                    </a:prstGeom>
                  </pic:spPr>
                </pic:pic>
              </a:graphicData>
            </a:graphic>
          </wp:inline>
        </w:drawing>
      </w:r>
    </w:p>
    <w:p w:rsidR="00E16D35" w:rsidRDefault="00E16D35" w:rsidP="00C750D2">
      <w:pPr>
        <w:jc w:val="both"/>
        <w:rPr>
          <w:b/>
          <w:i/>
          <w:color w:val="0070C0"/>
        </w:rPr>
      </w:pPr>
    </w:p>
    <w:p w:rsidR="004A39EE" w:rsidRPr="00C750D2" w:rsidRDefault="00E75E05" w:rsidP="00C750D2">
      <w:pPr>
        <w:jc w:val="both"/>
      </w:pPr>
      <w:r w:rsidRPr="00C750D2">
        <w:rPr>
          <w:b/>
          <w:i/>
          <w:color w:val="0070C0"/>
        </w:rPr>
        <w:t xml:space="preserve"> </w:t>
      </w:r>
      <w:r w:rsidRPr="00E16D35">
        <w:rPr>
          <w:b/>
          <w:i/>
        </w:rPr>
        <w:t>La misurazione e la valutazione della performance</w:t>
      </w:r>
    </w:p>
    <w:p w:rsidR="00C750D2" w:rsidRDefault="00C750D2" w:rsidP="00C750D2">
      <w:pPr>
        <w:jc w:val="both"/>
      </w:pPr>
      <w:r w:rsidRPr="00C750D2">
        <w:t>Il processo annuale di valutazione della performance riguarda tutto il personale dell’Azienda (sia Dirigenza</w:t>
      </w:r>
      <w:r>
        <w:t xml:space="preserve"> </w:t>
      </w:r>
      <w:r w:rsidRPr="00C750D2">
        <w:t>che Comparto) e</w:t>
      </w:r>
      <w:r>
        <w:t xml:space="preserve"> </w:t>
      </w:r>
      <w:r w:rsidRPr="00C750D2">
        <w:t>si</w:t>
      </w:r>
      <w:r>
        <w:t xml:space="preserve"> </w:t>
      </w:r>
      <w:r w:rsidRPr="00C750D2">
        <w:t xml:space="preserve">estrinseca attraverso la contestuale valutazione della </w:t>
      </w:r>
      <w:r>
        <w:t xml:space="preserve">performance organizzativa ed individuale. Fermo restando il disposto di cui all’articolo 3 – comma 2 del Decreto Legislativo n°150/09 relativamente all’oggetto della valutazione, le linee di indirizzo riportate nel Decreto Assessoriale n°1821 del 26 settembre 2011 richiedono infatti che si proceda alla disciplina di due livelli di valutazione: </w:t>
      </w:r>
    </w:p>
    <w:p w:rsidR="00C750D2" w:rsidRDefault="00C750D2" w:rsidP="00C750D2">
      <w:pPr>
        <w:pStyle w:val="Paragrafoelenco"/>
        <w:numPr>
          <w:ilvl w:val="0"/>
          <w:numId w:val="16"/>
        </w:numPr>
        <w:jc w:val="both"/>
      </w:pPr>
      <w:r>
        <w:lastRenderedPageBreak/>
        <w:t xml:space="preserve">dei dipartimenti e strutture complesse (“valutazione della performance organizzativa”);  </w:t>
      </w:r>
    </w:p>
    <w:p w:rsidR="00C750D2" w:rsidRDefault="00C750D2" w:rsidP="00C750D2">
      <w:pPr>
        <w:pStyle w:val="Paragrafoelenco"/>
        <w:numPr>
          <w:ilvl w:val="0"/>
          <w:numId w:val="16"/>
        </w:numPr>
        <w:jc w:val="both"/>
      </w:pPr>
      <w:r>
        <w:t xml:space="preserve">dei singoli dipendenti e dirigenti (“valutazione della performance individuale”). </w:t>
      </w:r>
    </w:p>
    <w:p w:rsidR="00C750D2" w:rsidRDefault="00C750D2" w:rsidP="00C750D2">
      <w:pPr>
        <w:pStyle w:val="Paragrafoelenco"/>
        <w:jc w:val="both"/>
      </w:pPr>
      <w:r>
        <w:t xml:space="preserve"> </w:t>
      </w:r>
    </w:p>
    <w:p w:rsidR="00C750D2" w:rsidRDefault="00C750D2" w:rsidP="00C750D2">
      <w:pPr>
        <w:jc w:val="both"/>
      </w:pPr>
      <w:r>
        <w:t xml:space="preserve">Per tutto il personale, comparto e dirigenza, la performance organizzativa della struttura di appartenenza, costituisce parte integrante della processo di erogazione del salario di risultato. Il peso attribuito a tale componente di performance, varierà in funzione del livello di responsabilità, risultando massimo per i dirigenti responsabili di struttura e minimo per i ruoli del comparto. </w:t>
      </w:r>
    </w:p>
    <w:p w:rsidR="00C750D2" w:rsidRPr="00C750D2" w:rsidRDefault="00C750D2" w:rsidP="00C750D2">
      <w:pPr>
        <w:jc w:val="both"/>
        <w:rPr>
          <w:b/>
          <w:color w:val="000066"/>
        </w:rPr>
      </w:pPr>
      <w:r w:rsidRPr="00C750D2">
        <w:rPr>
          <w:b/>
          <w:color w:val="000066"/>
        </w:rPr>
        <w:t xml:space="preserve">Valutazione della performance organizzativa </w:t>
      </w:r>
    </w:p>
    <w:p w:rsidR="00C750D2" w:rsidRDefault="00C750D2" w:rsidP="00C750D2">
      <w:pPr>
        <w:jc w:val="both"/>
      </w:pPr>
      <w:r>
        <w:t xml:space="preserve">La misurazione e la valutazione </w:t>
      </w:r>
      <w:r>
        <w:tab/>
        <w:t xml:space="preserve">della performance organizzativa concerne “ciascuna struttura amministrativa </w:t>
      </w:r>
      <w:r>
        <w:tab/>
        <w:t xml:space="preserve">nel suo complesso” (art. 7, co. 2, lett. a, d.lgs. 150/2009) e nelle sue articolazioni organizzative, con riferimento – nel caso specifico dell’Azienda ARNAS Civico – alle Strutture di Dipartimento e le Unità Operative come previsto in sede di Linee di Indirizzo Regionali e secondo modalità conformi alle direttive impartite dalla Commissione di cui all'articolo 13 del decreto legislativo n. 150/09. </w:t>
      </w:r>
    </w:p>
    <w:p w:rsidR="00C750D2" w:rsidRDefault="00C750D2" w:rsidP="00C750D2">
      <w:pPr>
        <w:jc w:val="both"/>
      </w:pPr>
      <w:r>
        <w:t xml:space="preserve">Gli ambiti di misurazione e valutazione della performance organizzativa (art.8.d.lgs.  150/2009) riguardano: </w:t>
      </w:r>
    </w:p>
    <w:p w:rsidR="00C750D2" w:rsidRDefault="00C750D2" w:rsidP="00EF2216">
      <w:pPr>
        <w:pStyle w:val="Paragrafoelenco"/>
        <w:numPr>
          <w:ilvl w:val="0"/>
          <w:numId w:val="14"/>
        </w:numPr>
        <w:jc w:val="both"/>
      </w:pPr>
      <w:r>
        <w:t xml:space="preserve">l’attuazione delle politiche attivate sulla soddisfazione finale dei bisogni della collettività; </w:t>
      </w:r>
    </w:p>
    <w:p w:rsidR="00C750D2" w:rsidRDefault="00C750D2" w:rsidP="00EF2216">
      <w:pPr>
        <w:pStyle w:val="Paragrafoelenco"/>
        <w:numPr>
          <w:ilvl w:val="0"/>
          <w:numId w:val="14"/>
        </w:numPr>
        <w:jc w:val="both"/>
      </w:pPr>
      <w:r>
        <w:t xml:space="preserve">l’attuazione di piani e programmi, ovvero la misurazione dell’effettivo grado di  raggiungimento dei medesimi, nel rispetto delle fasi e dei tempi previsti, degli standard qualitativi e quantitativi definiti, del livello previsto di assorbimento delle risorse; </w:t>
      </w:r>
    </w:p>
    <w:p w:rsidR="00C750D2" w:rsidRDefault="00C750D2" w:rsidP="00C750D2">
      <w:pPr>
        <w:pStyle w:val="Paragrafoelenco"/>
        <w:numPr>
          <w:ilvl w:val="0"/>
          <w:numId w:val="14"/>
        </w:numPr>
        <w:jc w:val="both"/>
      </w:pPr>
      <w:r>
        <w:t xml:space="preserve">la rilevazione del grado di soddisfazione dei destinatari delle attività e dei servizi anche  attraverso modalità interattive; </w:t>
      </w:r>
    </w:p>
    <w:p w:rsidR="00C750D2" w:rsidRDefault="00C750D2" w:rsidP="00EF2216">
      <w:pPr>
        <w:pStyle w:val="Paragrafoelenco"/>
        <w:numPr>
          <w:ilvl w:val="0"/>
          <w:numId w:val="14"/>
        </w:numPr>
        <w:jc w:val="both"/>
      </w:pPr>
      <w:r>
        <w:t xml:space="preserve">modernizzazione e il miglioramento qualitativo dell’organizzazione e delle competenze professionali e la capacità di attuazione di piani e programmi; </w:t>
      </w:r>
    </w:p>
    <w:p w:rsidR="00C750D2" w:rsidRDefault="00C750D2" w:rsidP="00EF2216">
      <w:pPr>
        <w:pStyle w:val="Paragrafoelenco"/>
        <w:numPr>
          <w:ilvl w:val="0"/>
          <w:numId w:val="14"/>
        </w:numPr>
        <w:jc w:val="both"/>
      </w:pPr>
      <w:r>
        <w:t xml:space="preserve">lo sviluppo qualitativo e quantitativo delle relazioni con i cittadini, i soggetti interessati,  gli utenti e i destinatari dei servizi, anche attraverso lo sviluppo di forme di partecipazione e collaborazione; </w:t>
      </w:r>
    </w:p>
    <w:p w:rsidR="00C750D2" w:rsidRDefault="00C750D2" w:rsidP="00EF2216">
      <w:pPr>
        <w:pStyle w:val="Paragrafoelenco"/>
        <w:numPr>
          <w:ilvl w:val="0"/>
          <w:numId w:val="14"/>
        </w:numPr>
        <w:jc w:val="both"/>
      </w:pPr>
      <w:r>
        <w:t xml:space="preserve">l’efficienza nell’impiego delle risorse, con particolare riferimento al contenimento ed alla  riduzione dei costi, nonché all’ottimizzazione dei tempi dei procedimenti amministrativi; </w:t>
      </w:r>
    </w:p>
    <w:p w:rsidR="00C750D2" w:rsidRDefault="00C750D2" w:rsidP="00C750D2">
      <w:pPr>
        <w:pStyle w:val="Paragrafoelenco"/>
        <w:numPr>
          <w:ilvl w:val="0"/>
          <w:numId w:val="14"/>
        </w:numPr>
        <w:jc w:val="both"/>
      </w:pPr>
      <w:r>
        <w:t xml:space="preserve">la qualità e la quantità delle prestazioni e dei servizi erogati;  </w:t>
      </w:r>
    </w:p>
    <w:p w:rsidR="00C750D2" w:rsidRDefault="00C750D2" w:rsidP="00C750D2">
      <w:pPr>
        <w:pStyle w:val="Paragrafoelenco"/>
        <w:numPr>
          <w:ilvl w:val="0"/>
          <w:numId w:val="14"/>
        </w:numPr>
        <w:jc w:val="both"/>
      </w:pPr>
      <w:r>
        <w:t xml:space="preserve">la promozione delle pari opportunità. </w:t>
      </w:r>
    </w:p>
    <w:p w:rsidR="00C750D2" w:rsidRDefault="00C750D2" w:rsidP="00C750D2">
      <w:pPr>
        <w:jc w:val="both"/>
      </w:pPr>
      <w:r>
        <w:t xml:space="preserve">Nella misurazione della performance organizzativa i macro-ambiti di riferimento sono: </w:t>
      </w:r>
    </w:p>
    <w:p w:rsidR="00C750D2" w:rsidRDefault="00CB42EF" w:rsidP="00EF2216">
      <w:pPr>
        <w:pStyle w:val="Paragrafoelenco"/>
        <w:numPr>
          <w:ilvl w:val="0"/>
          <w:numId w:val="14"/>
        </w:numPr>
        <w:jc w:val="both"/>
      </w:pPr>
      <w:r>
        <w:t>i</w:t>
      </w:r>
      <w:r w:rsidR="00C750D2">
        <w:t>l grado di attuazione della strategia:</w:t>
      </w:r>
      <w:r>
        <w:t xml:space="preserve"> </w:t>
      </w:r>
      <w:r w:rsidR="00C750D2">
        <w:t xml:space="preserve">ha l’obiettivo di verificare </w:t>
      </w:r>
      <w:r>
        <w:t xml:space="preserve">quanto </w:t>
      </w:r>
      <w:r>
        <w:tab/>
        <w:t xml:space="preserve">l’unità </w:t>
      </w:r>
      <w:r w:rsidR="00C750D2">
        <w:t xml:space="preserve">organizzativa metta in atto la </w:t>
      </w:r>
      <w:r w:rsidR="00C750D2" w:rsidRPr="00CB42EF">
        <w:rPr>
          <w:i/>
        </w:rPr>
        <w:t>mission</w:t>
      </w:r>
      <w:r w:rsidR="00C750D2">
        <w:t xml:space="preserve"> aziendale in coerenza con gli obiettivi strategici affidati all’intera Azienda dall’Assessorato regionale della Salute; </w:t>
      </w:r>
    </w:p>
    <w:p w:rsidR="00C750D2" w:rsidRDefault="00CB42EF" w:rsidP="00EF2216">
      <w:pPr>
        <w:pStyle w:val="Paragrafoelenco"/>
        <w:numPr>
          <w:ilvl w:val="0"/>
          <w:numId w:val="14"/>
        </w:numPr>
        <w:jc w:val="both"/>
      </w:pPr>
      <w:r>
        <w:t>i</w:t>
      </w:r>
      <w:r w:rsidR="00C750D2">
        <w:t xml:space="preserve">l portafoglio delle attività: ha l’obiettivo di verificare le attività e i servizi con i quali l’unità organizzativa si rapporta agli utenti, all’ambiente di riferimento </w:t>
      </w:r>
      <w:r>
        <w:t>ed ai portatori di  interesse; i</w:t>
      </w:r>
      <w:r w:rsidR="00C750D2">
        <w:t xml:space="preserve">n funzione dell’area di </w:t>
      </w:r>
      <w:r w:rsidR="00C750D2">
        <w:tab/>
        <w:t xml:space="preserve">appartenenza della struttura sono inseriti nelle schede di valutazione specifici indicatori, in parte derivanti dalle indicazioni della L.R:  5/2009, nonché dal D.A. n°1821 del 24 settembre 2009. </w:t>
      </w:r>
    </w:p>
    <w:p w:rsidR="00C750D2" w:rsidRDefault="00CB42EF" w:rsidP="00EF2216">
      <w:pPr>
        <w:pStyle w:val="Paragrafoelenco"/>
        <w:numPr>
          <w:ilvl w:val="0"/>
          <w:numId w:val="14"/>
        </w:numPr>
        <w:jc w:val="both"/>
      </w:pPr>
      <w:r>
        <w:t>l</w:t>
      </w:r>
      <w:r w:rsidR="00C750D2">
        <w:t>o stato di salute dell’unità organizzativa: riguarda la verifica d</w:t>
      </w:r>
      <w:r>
        <w:t>ello stato economico-</w:t>
      </w:r>
      <w:r w:rsidR="00C750D2">
        <w:t xml:space="preserve">finanziario, nel cui ambito misurare e valutare l’efficienza nell’impiego delle risorse, con particolare riferimento al contenimento dei costi e la sicurezza del luogo di lavoro. </w:t>
      </w:r>
    </w:p>
    <w:p w:rsidR="00C750D2" w:rsidRPr="00C750D2" w:rsidRDefault="00C750D2" w:rsidP="0010287D">
      <w:pPr>
        <w:jc w:val="both"/>
      </w:pPr>
      <w:r>
        <w:lastRenderedPageBreak/>
        <w:t xml:space="preserve">Al termine del processo formale di determinazione e distribuzione degli obiettivi </w:t>
      </w:r>
      <w:r w:rsidR="00CB42EF">
        <w:t>annuali, viene</w:t>
      </w:r>
      <w:r>
        <w:t xml:space="preserve"> prodotta una scheda per la misurazione e la valutazione degli obiettivi organizzativi che comprenderà molteplici aree, direttamente o indirettamente collegate agli ambiti di riferimento </w:t>
      </w:r>
      <w:r w:rsidR="00CB42EF">
        <w:t>di cui</w:t>
      </w:r>
      <w:r>
        <w:t xml:space="preserve"> sopra, ma comunque in coerenza con quanto già descritto </w:t>
      </w:r>
      <w:r w:rsidR="00CB42EF">
        <w:t>precedentemente</w:t>
      </w:r>
      <w:r>
        <w:t>.</w:t>
      </w:r>
    </w:p>
    <w:p w:rsidR="00CB42EF" w:rsidRDefault="00CB42EF" w:rsidP="00CB42EF">
      <w:pPr>
        <w:jc w:val="both"/>
      </w:pPr>
      <w:r>
        <w:t xml:space="preserve">Il punteggio complessivo conseguito dall’Unità organizzativa viene espresso in centesimi, ed indica il grado di conseguimento della performance organizzativa. </w:t>
      </w:r>
    </w:p>
    <w:p w:rsidR="00CB42EF" w:rsidRDefault="00CB42EF" w:rsidP="00CB42EF">
      <w:pPr>
        <w:jc w:val="both"/>
      </w:pPr>
      <w:r>
        <w:t xml:space="preserve">La misurazione dei risultati prevede che in azienda sia definito un processo di raccolta dei dati necessari della valorizzazione degli indicatori. Tale processo è abitualmente avviato dal Controllo di Gestione, che si avvale dei dati del sistema informativo aziendale, delle informazioni raccolte e verificate dalle altre strutture aziendali, e delle eventuali controdeduzioni formulate dai Responsabili di Struttura in corso d’anno o alla conclusione della prima iterazione della fase di verifica. Il modello di Scheda di Valutazione della Performance organizzativa (o di Struttura) può essere liberamente visionato all’interno dello specifico Regolamento Aziendale. </w:t>
      </w:r>
    </w:p>
    <w:p w:rsidR="00CB42EF" w:rsidRPr="00CB42EF" w:rsidRDefault="00CB42EF" w:rsidP="00CB42EF">
      <w:pPr>
        <w:jc w:val="both"/>
        <w:rPr>
          <w:b/>
          <w:color w:val="000066"/>
        </w:rPr>
      </w:pPr>
      <w:r w:rsidRPr="00CB42EF">
        <w:rPr>
          <w:b/>
          <w:color w:val="000066"/>
        </w:rPr>
        <w:t xml:space="preserve">Valutazione della performance individuale dei dirigenti e del comparto </w:t>
      </w:r>
    </w:p>
    <w:p w:rsidR="00CB42EF" w:rsidRDefault="00CB42EF" w:rsidP="00CB42EF">
      <w:pPr>
        <w:jc w:val="both"/>
      </w:pPr>
      <w:r>
        <w:t xml:space="preserve">La misurazione </w:t>
      </w:r>
      <w:r>
        <w:tab/>
        <w:t xml:space="preserve">e valutazione annuale della performance individuale riguarda tutto il personale dell’azienda, e, in base a quanto previsto dall’articolo 9 del D.lgs. n°150/09, è collegata “al raggiungimento di specifici obiettivi di gruppo o individuali, alla qualità del contributo assicurato alla performance generale della struttura, </w:t>
      </w:r>
      <w:r>
        <w:tab/>
        <w:t xml:space="preserve">alle competenze dimostrate e ai comportamenti professionali e organizzativi”. </w:t>
      </w:r>
    </w:p>
    <w:p w:rsidR="00CB42EF" w:rsidRDefault="00CB42EF" w:rsidP="00CB42EF">
      <w:pPr>
        <w:jc w:val="both"/>
      </w:pPr>
      <w:r>
        <w:t xml:space="preserve">Gli scopi prioritari della misurazione e valutazione della performance individuale (Delibera della CiVIT n°104 del 02 settembre 2010) sono i seguenti:  </w:t>
      </w:r>
    </w:p>
    <w:p w:rsidR="00CB42EF" w:rsidRDefault="00CB42EF" w:rsidP="004C2954">
      <w:pPr>
        <w:pStyle w:val="Paragrafoelenco"/>
        <w:numPr>
          <w:ilvl w:val="0"/>
          <w:numId w:val="14"/>
        </w:numPr>
        <w:jc w:val="both"/>
      </w:pPr>
      <w:r>
        <w:t xml:space="preserve">evidenziare l’importanza del contributo individuale del personale valutato rispetto agli  obiettivi dell’azienda nel suo insieme e della struttura organizzativa di appartenenza; </w:t>
      </w:r>
    </w:p>
    <w:p w:rsidR="00CB42EF" w:rsidRDefault="00CB42EF" w:rsidP="004C2954">
      <w:pPr>
        <w:pStyle w:val="Paragrafoelenco"/>
        <w:numPr>
          <w:ilvl w:val="0"/>
          <w:numId w:val="14"/>
        </w:numPr>
        <w:jc w:val="both"/>
      </w:pPr>
      <w:r>
        <w:t xml:space="preserve">chiarire e comunicare che cosa ci si attende, in termini di risultati e comportamenti,  dalla singola persona; </w:t>
      </w:r>
    </w:p>
    <w:p w:rsidR="00CB42EF" w:rsidRDefault="00CB42EF" w:rsidP="004C2954">
      <w:pPr>
        <w:pStyle w:val="Paragrafoelenco"/>
        <w:numPr>
          <w:ilvl w:val="0"/>
          <w:numId w:val="14"/>
        </w:numPr>
        <w:jc w:val="both"/>
      </w:pPr>
      <w:r>
        <w:t xml:space="preserve">supportare le persone nel miglioramento della loro performance (generare allineamento con gli obiettivi complessivi dell’azienda); </w:t>
      </w:r>
    </w:p>
    <w:p w:rsidR="00CB42EF" w:rsidRDefault="00CB42EF" w:rsidP="004C2954">
      <w:pPr>
        <w:pStyle w:val="Paragrafoelenco"/>
        <w:numPr>
          <w:ilvl w:val="0"/>
          <w:numId w:val="14"/>
        </w:numPr>
        <w:jc w:val="both"/>
      </w:pPr>
      <w:r>
        <w:t xml:space="preserve">valutare la performance e </w:t>
      </w:r>
      <w:r w:rsidR="004C2954">
        <w:t xml:space="preserve">comunicare i </w:t>
      </w:r>
      <w:r>
        <w:t xml:space="preserve">risultati e le aspettative future alla singola persona (supportare l’allineamento); </w:t>
      </w:r>
    </w:p>
    <w:p w:rsidR="004C2954" w:rsidRDefault="00CB42EF" w:rsidP="004C2954">
      <w:pPr>
        <w:pStyle w:val="Paragrafoelenco"/>
        <w:numPr>
          <w:ilvl w:val="0"/>
          <w:numId w:val="14"/>
        </w:numPr>
        <w:jc w:val="both"/>
      </w:pPr>
      <w:r>
        <w:t xml:space="preserve">contribuire a creare e mantenere un clima organizzativo favorevole;  </w:t>
      </w:r>
    </w:p>
    <w:p w:rsidR="00CB42EF" w:rsidRDefault="00CB42EF" w:rsidP="004C2954">
      <w:pPr>
        <w:pStyle w:val="Paragrafoelenco"/>
        <w:numPr>
          <w:ilvl w:val="0"/>
          <w:numId w:val="14"/>
        </w:numPr>
        <w:jc w:val="both"/>
      </w:pPr>
      <w:r>
        <w:t xml:space="preserve">premiare la performance attraverso opportuni sistemi incentivanti; </w:t>
      </w:r>
    </w:p>
    <w:p w:rsidR="00CB42EF" w:rsidRDefault="00CB42EF" w:rsidP="00CB42EF">
      <w:pPr>
        <w:pStyle w:val="Paragrafoelenco"/>
        <w:numPr>
          <w:ilvl w:val="0"/>
          <w:numId w:val="14"/>
        </w:numPr>
        <w:jc w:val="both"/>
      </w:pPr>
      <w:r>
        <w:t xml:space="preserve">promuovere una corretta gestione delle risorse umane; </w:t>
      </w:r>
    </w:p>
    <w:p w:rsidR="004C2954" w:rsidRDefault="00CB42EF" w:rsidP="004C2954">
      <w:pPr>
        <w:jc w:val="both"/>
      </w:pPr>
      <w:r>
        <w:t xml:space="preserve">Il processo, i criteri e le regole di misurazione e valutazione delle performance vengono dettagliatamente esplicitati negli specifici regolamenti aziendali, tutti liberamente consultabili sul sito istituzionale. </w:t>
      </w:r>
    </w:p>
    <w:p w:rsidR="00CB42EF" w:rsidRPr="004C2954" w:rsidRDefault="00E16D35" w:rsidP="004C2954">
      <w:pPr>
        <w:jc w:val="both"/>
        <w:rPr>
          <w:b/>
          <w:i/>
          <w:color w:val="0070C0"/>
        </w:rPr>
      </w:pPr>
      <w:r>
        <w:rPr>
          <w:b/>
          <w:i/>
          <w:color w:val="0070C0"/>
        </w:rPr>
        <w:t>7.2</w:t>
      </w:r>
      <w:r w:rsidR="00CB42EF" w:rsidRPr="004C2954">
        <w:rPr>
          <w:b/>
          <w:i/>
          <w:color w:val="0070C0"/>
        </w:rPr>
        <w:t xml:space="preserve"> Coerenza con la programmazione economico finanziaria e di bilancio </w:t>
      </w:r>
    </w:p>
    <w:p w:rsidR="00CB42EF" w:rsidRDefault="00CB42EF" w:rsidP="004C2954">
      <w:pPr>
        <w:jc w:val="both"/>
      </w:pPr>
      <w:r>
        <w:t xml:space="preserve">Il piano della performance non si limita ad individuare gli obiettivi strategici ed operativi da realizzare ma prevede una stretta relazione con le risorse a disposizione per il raggiungimento degli stessi. Il D.Lgs. 150/09 </w:t>
      </w:r>
      <w:r>
        <w:tab/>
        <w:t>conferma in tale senso</w:t>
      </w:r>
      <w:r w:rsidR="004C2954">
        <w:t xml:space="preserve"> </w:t>
      </w:r>
      <w:r>
        <w:t xml:space="preserve">quanto </w:t>
      </w:r>
      <w:r>
        <w:tab/>
        <w:t xml:space="preserve">già disciplinato </w:t>
      </w:r>
      <w:r>
        <w:tab/>
        <w:t xml:space="preserve">in termini di responsabilizzazione, dal momento che qualunque contrattazione realizzata, a qualunque livello gerarchico avvenga, deve essere legata alla quantità e qualità di risorse messe a disposizione per la stessa. </w:t>
      </w:r>
    </w:p>
    <w:p w:rsidR="00CB42EF" w:rsidRDefault="00CB42EF" w:rsidP="004C2954">
      <w:pPr>
        <w:jc w:val="both"/>
      </w:pPr>
      <w:r>
        <w:lastRenderedPageBreak/>
        <w:t xml:space="preserve">Durante il processo di </w:t>
      </w:r>
      <w:r w:rsidRPr="004C2954">
        <w:rPr>
          <w:i/>
        </w:rPr>
        <w:t>budgeting</w:t>
      </w:r>
      <w:r>
        <w:t xml:space="preserve"> per l’anno 201</w:t>
      </w:r>
      <w:r w:rsidR="00E16D35">
        <w:t>5</w:t>
      </w:r>
      <w:r>
        <w:t xml:space="preserve"> è stata avviata tale analisi, ed è quindi esplicito intendimento di questa Direzione aziendale proseguire nei processi di puntuale definizione delle </w:t>
      </w:r>
      <w:r w:rsidR="004C2954">
        <w:t xml:space="preserve">risorse </w:t>
      </w:r>
      <w:r>
        <w:t xml:space="preserve">disponibili al momento </w:t>
      </w:r>
      <w:r>
        <w:tab/>
        <w:t>della formalizzazione degli obiettivi di budget 201</w:t>
      </w:r>
      <w:r w:rsidR="004C2954">
        <w:t>5</w:t>
      </w:r>
      <w:r>
        <w:t xml:space="preserve"> </w:t>
      </w:r>
      <w:r w:rsidR="00E16D35">
        <w:t>6</w:t>
      </w:r>
      <w:r>
        <w:t xml:space="preserve">on i responsabili di struttura. </w:t>
      </w:r>
    </w:p>
    <w:p w:rsidR="00E75E05" w:rsidRDefault="00CB42EF" w:rsidP="008449D4">
      <w:pPr>
        <w:jc w:val="both"/>
      </w:pPr>
      <w:r>
        <w:t xml:space="preserve">Nelle more di tale formalizzazione, l’Azienda ha già posto in essere dei sistemi di verifica </w:t>
      </w:r>
      <w:r w:rsidR="004C2954">
        <w:t xml:space="preserve">sulla distribuzione </w:t>
      </w:r>
      <w:r>
        <w:t xml:space="preserve">delle risorse </w:t>
      </w:r>
      <w:r w:rsidR="004C2954">
        <w:t xml:space="preserve">limitatamente </w:t>
      </w:r>
      <w:r>
        <w:t xml:space="preserve">alla </w:t>
      </w:r>
      <w:r>
        <w:tab/>
        <w:t xml:space="preserve">gestione </w:t>
      </w:r>
      <w:r w:rsidR="004C2954">
        <w:t xml:space="preserve">del budget relativo al </w:t>
      </w:r>
      <w:r>
        <w:t>consumo dei farmaci e dei dispositivi ospedalieri) pianificando di ampliare tali procedure aziendali alle risorse umane e di finanziamento</w:t>
      </w:r>
      <w:r w:rsidR="008449D4">
        <w:t xml:space="preserve"> durante </w:t>
      </w:r>
      <w:r>
        <w:t>l’anno in corso</w:t>
      </w:r>
      <w:r w:rsidR="008449D4">
        <w:t>.</w:t>
      </w:r>
      <w:r>
        <w:t xml:space="preserve"> </w:t>
      </w:r>
      <w:r>
        <w:tab/>
      </w:r>
    </w:p>
    <w:p w:rsidR="0010287D" w:rsidRPr="0010287D" w:rsidRDefault="00E16D35" w:rsidP="008449D4">
      <w:pPr>
        <w:jc w:val="both"/>
        <w:rPr>
          <w:b/>
          <w:i/>
          <w:color w:val="0070C0"/>
        </w:rPr>
      </w:pPr>
      <w:r>
        <w:rPr>
          <w:b/>
          <w:i/>
          <w:color w:val="0070C0"/>
        </w:rPr>
        <w:t>7.3</w:t>
      </w:r>
      <w:r w:rsidR="0010287D" w:rsidRPr="0010287D">
        <w:rPr>
          <w:b/>
          <w:i/>
          <w:color w:val="0070C0"/>
        </w:rPr>
        <w:t xml:space="preserve"> Azioni per il miglioramento del Ciclo di gestione delle performance</w:t>
      </w:r>
    </w:p>
    <w:p w:rsidR="0010287D" w:rsidRDefault="0010287D" w:rsidP="0010287D">
      <w:pPr>
        <w:jc w:val="both"/>
      </w:pPr>
      <w:r>
        <w:t xml:space="preserve">Per le motivazioni sopra espresse risulta evidente come il processo legato al ciclo della performance descritto non può essere considerato staticamente definitivo, ma rimane sempre passibile di sensibili aggiornamenti e modifiche. </w:t>
      </w:r>
    </w:p>
    <w:p w:rsidR="0010287D" w:rsidRDefault="0010287D" w:rsidP="0010287D">
      <w:pPr>
        <w:jc w:val="both"/>
      </w:pPr>
      <w:r>
        <w:t xml:space="preserve"> Le azioni per un ulteriore miglioramento sono connaturate al processo stesso, dal momento che la profonda revisione del sistema di responsabilizzazione degli operatori ha già posto una serie di problematiche affrontate individuando soluzioni pratiche e fornendo utili spunti di riflessione oltre che una crescita professionale connaturata allo strumento del “</w:t>
      </w:r>
      <w:r w:rsidRPr="0010287D">
        <w:rPr>
          <w:i/>
        </w:rPr>
        <w:t>learning by doing</w:t>
      </w:r>
      <w:r>
        <w:t xml:space="preserve">”. Le scelte intraprese durante gli ultimi due anni dall’Azienda in tale ambito riguardano in particolare: (i) il potenziamento delle strutture di controllo e verifica al fine di garantire il collegamento tra il ciclo di gestione della performance </w:t>
      </w:r>
      <w:r>
        <w:tab/>
        <w:t xml:space="preserve">e il processo di budget e (ii) la ridefinizione della contrattazione aziendale. </w:t>
      </w:r>
    </w:p>
    <w:p w:rsidR="0010287D" w:rsidRDefault="00EF2216" w:rsidP="0010287D">
      <w:pPr>
        <w:jc w:val="both"/>
      </w:pPr>
      <w:r>
        <w:t>L</w:t>
      </w:r>
      <w:r w:rsidR="0010287D">
        <w:t xml:space="preserve">e scelte strategiche della Direzione Generale </w:t>
      </w:r>
      <w:r>
        <w:t xml:space="preserve">e </w:t>
      </w:r>
      <w:r w:rsidR="0010287D">
        <w:t xml:space="preserve">il loro tradursi in </w:t>
      </w:r>
      <w:r>
        <w:t>direttive e obiettivi operativi dipendono da</w:t>
      </w:r>
      <w:r w:rsidR="0010287D">
        <w:t xml:space="preserve"> </w:t>
      </w:r>
      <w:r w:rsidR="002C685F">
        <w:t>tre</w:t>
      </w:r>
      <w:r w:rsidR="0010287D">
        <w:t xml:space="preserve"> passaggi fondamentali</w:t>
      </w:r>
      <w:r>
        <w:t>,</w:t>
      </w:r>
      <w:r w:rsidR="0010287D">
        <w:t xml:space="preserve"> rappresentati </w:t>
      </w:r>
      <w:r w:rsidR="002C685F">
        <w:t xml:space="preserve">dall’attivazione della rete ospedaliera, dalla determinazione delle piante organiche e </w:t>
      </w:r>
      <w:r w:rsidR="0010287D">
        <w:t xml:space="preserve">dall’analisi dei carichi di lavoro. </w:t>
      </w:r>
    </w:p>
    <w:p w:rsidR="00A447D4" w:rsidRDefault="00A447D4" w:rsidP="00A447D4">
      <w:pPr>
        <w:spacing w:line="240" w:lineRule="auto"/>
        <w:contextualSpacing/>
        <w:jc w:val="both"/>
      </w:pPr>
      <w:r>
        <w:t xml:space="preserve">Il </w:t>
      </w:r>
      <w:r w:rsidRPr="00442BD5">
        <w:t xml:space="preserve">Piano Programmatico Aziendale </w:t>
      </w:r>
      <w:r>
        <w:t>delle attività si pone come momento di esplicitazione a tutti i soggetti “portatori di interesse” (</w:t>
      </w:r>
      <w:r w:rsidRPr="00BC5C53">
        <w:rPr>
          <w:i/>
        </w:rPr>
        <w:t>stakeholders</w:t>
      </w:r>
      <w:r>
        <w:t>), interni ed esterni, di tutto il percorso del ciclo di Programmazione e Controllo aziendale</w:t>
      </w:r>
      <w:r w:rsidRPr="008476DF">
        <w:t xml:space="preserve"> </w:t>
      </w:r>
      <w:r>
        <w:t>in coerenza con l’equilibrio economico-finanziario definito con il bilancio di previsione, il capitale umano e le risorse strumentali disponibili.</w:t>
      </w:r>
    </w:p>
    <w:p w:rsidR="00A447D4" w:rsidRDefault="00A447D4" w:rsidP="00A447D4">
      <w:pPr>
        <w:spacing w:line="240" w:lineRule="auto"/>
        <w:contextualSpacing/>
      </w:pPr>
    </w:p>
    <w:p w:rsidR="00A447D4" w:rsidRDefault="00A447D4" w:rsidP="00A447D4">
      <w:pPr>
        <w:spacing w:line="240" w:lineRule="auto"/>
        <w:contextualSpacing/>
        <w:jc w:val="both"/>
      </w:pPr>
      <w:r>
        <w:t>Nei prossimi due anni questa ARNAS si propone di implementare modelli assistenziali innovativi finalizzati da un lato a rispondere a logiche di efficienza e di produttività, dall’altro a garantire coerenza tra bisogno di salute e “</w:t>
      </w:r>
      <w:r w:rsidRPr="00786AD4">
        <w:rPr>
          <w:i/>
        </w:rPr>
        <w:t>setting</w:t>
      </w:r>
      <w:r>
        <w:t>” della risposta assistenziale, fra integrazione clinic</w:t>
      </w:r>
      <w:bookmarkStart w:id="4" w:name="_GoBack"/>
      <w:bookmarkEnd w:id="4"/>
      <w:r>
        <w:t>a multidisciplinare e integrazione con la ricerca e la didattica.</w:t>
      </w:r>
    </w:p>
    <w:p w:rsidR="00A447D4" w:rsidRDefault="00A447D4" w:rsidP="00A447D4">
      <w:pPr>
        <w:spacing w:line="240" w:lineRule="auto"/>
        <w:contextualSpacing/>
      </w:pPr>
      <w:r>
        <w:t xml:space="preserve"> </w:t>
      </w:r>
    </w:p>
    <w:p w:rsidR="00A447D4" w:rsidRDefault="00A447D4" w:rsidP="00A447D4">
      <w:pPr>
        <w:jc w:val="both"/>
      </w:pPr>
      <w:r>
        <w:t xml:space="preserve">Per completare questa trasformazione organizzativa, è necessario implementare e promuovere </w:t>
      </w:r>
      <w:r w:rsidRPr="00DA70EC">
        <w:rPr>
          <w:b/>
        </w:rPr>
        <w:t>quattro linee di intervento organizzativo</w:t>
      </w:r>
      <w:r>
        <w:t>:</w:t>
      </w:r>
    </w:p>
    <w:p w:rsidR="00A447D4" w:rsidRDefault="00A447D4" w:rsidP="00A447D4">
      <w:pPr>
        <w:pStyle w:val="Paragrafoelenco"/>
        <w:numPr>
          <w:ilvl w:val="0"/>
          <w:numId w:val="8"/>
        </w:numPr>
        <w:jc w:val="both"/>
      </w:pPr>
      <w:r w:rsidRPr="00DA70EC">
        <w:rPr>
          <w:color w:val="0088B8"/>
        </w:rPr>
        <w:t>Integrazione clinica</w:t>
      </w:r>
      <w:r>
        <w:t xml:space="preserve">: sviluppo del ruolo dei dipartimenti e dalla capacità di tutti i professionisti di lavorare in team; </w:t>
      </w:r>
    </w:p>
    <w:p w:rsidR="00A447D4" w:rsidRDefault="00A447D4" w:rsidP="00A447D4">
      <w:pPr>
        <w:pStyle w:val="Paragrafoelenco"/>
        <w:numPr>
          <w:ilvl w:val="0"/>
          <w:numId w:val="8"/>
        </w:numPr>
        <w:jc w:val="both"/>
      </w:pPr>
      <w:r w:rsidRPr="00DA70EC">
        <w:rPr>
          <w:color w:val="0088B8"/>
        </w:rPr>
        <w:t>Integrazione delle risorse</w:t>
      </w:r>
      <w:r>
        <w:t xml:space="preserve">: condivisione delle risorse disponibili e possibilità di adottare nuovi schemi logistici; </w:t>
      </w:r>
    </w:p>
    <w:p w:rsidR="00A447D4" w:rsidRDefault="00A447D4" w:rsidP="00A447D4">
      <w:pPr>
        <w:pStyle w:val="Paragrafoelenco"/>
        <w:numPr>
          <w:ilvl w:val="0"/>
          <w:numId w:val="8"/>
        </w:numPr>
        <w:jc w:val="both"/>
      </w:pPr>
      <w:r w:rsidRPr="00DA70EC">
        <w:rPr>
          <w:color w:val="0088B8"/>
        </w:rPr>
        <w:t>Centralità del paziente</w:t>
      </w:r>
      <w:r>
        <w:t xml:space="preserve">: organizzazione logistica centrata sui pazienti raggruppati in base a bisogni omogenei; </w:t>
      </w:r>
    </w:p>
    <w:p w:rsidR="00A447D4" w:rsidRDefault="00A447D4" w:rsidP="00A447D4">
      <w:pPr>
        <w:pStyle w:val="Paragrafoelenco"/>
        <w:numPr>
          <w:ilvl w:val="0"/>
          <w:numId w:val="8"/>
        </w:numPr>
        <w:jc w:val="both"/>
      </w:pPr>
      <w:r w:rsidRPr="00DA70EC">
        <w:rPr>
          <w:color w:val="0088B8"/>
        </w:rPr>
        <w:t>Coinvolgimento dei clinici</w:t>
      </w:r>
      <w:r>
        <w:t xml:space="preserve">: ridisegno di meccanismi organizzativi (liste di attesa, criteri di ingresso, dimissione ecc. e definizione di nuovi ruoli).  </w:t>
      </w:r>
    </w:p>
    <w:p w:rsidR="00A447D4" w:rsidRDefault="00A447D4" w:rsidP="00A447D4">
      <w:pPr>
        <w:jc w:val="both"/>
      </w:pPr>
      <w:r>
        <w:lastRenderedPageBreak/>
        <w:t xml:space="preserve">Sulla base di questo disegno, è possibile identificare </w:t>
      </w:r>
      <w:r w:rsidRPr="00DA70EC">
        <w:rPr>
          <w:b/>
        </w:rPr>
        <w:t>quattro aree strategiche</w:t>
      </w:r>
      <w:r>
        <w:t xml:space="preserve"> all’interno delle quali l’Azienda si muove in un continuo divenire.</w:t>
      </w:r>
    </w:p>
    <w:p w:rsidR="00A447D4" w:rsidRDefault="00A447D4" w:rsidP="00A447D4">
      <w:pPr>
        <w:pStyle w:val="Paragrafoelenco"/>
        <w:numPr>
          <w:ilvl w:val="0"/>
          <w:numId w:val="9"/>
        </w:numPr>
        <w:jc w:val="both"/>
      </w:pPr>
      <w:r w:rsidRPr="00DA70EC">
        <w:rPr>
          <w:color w:val="0088B8"/>
        </w:rPr>
        <w:t>Economicità</w:t>
      </w:r>
      <w:r>
        <w:t>: mantenimento dell’equilibrio finanziario, economico e patrimoniale, e riduzione dell’indebitamento;</w:t>
      </w:r>
    </w:p>
    <w:p w:rsidR="00A447D4" w:rsidRDefault="00A447D4" w:rsidP="00A447D4">
      <w:pPr>
        <w:pStyle w:val="Paragrafoelenco"/>
        <w:numPr>
          <w:ilvl w:val="0"/>
          <w:numId w:val="9"/>
        </w:numPr>
        <w:jc w:val="both"/>
      </w:pPr>
      <w:r w:rsidRPr="00DA70EC">
        <w:rPr>
          <w:color w:val="0088B8"/>
        </w:rPr>
        <w:t>Efficacia esterna</w:t>
      </w:r>
      <w:r>
        <w:t xml:space="preserve">: soddisfacimento dei bisogni di salute della collettività con particolare attenzione alla qualità dell’offerta sanitaria; </w:t>
      </w:r>
    </w:p>
    <w:p w:rsidR="00A447D4" w:rsidRDefault="00A447D4" w:rsidP="00A447D4">
      <w:pPr>
        <w:pStyle w:val="Paragrafoelenco"/>
        <w:numPr>
          <w:ilvl w:val="0"/>
          <w:numId w:val="9"/>
        </w:numPr>
        <w:jc w:val="both"/>
      </w:pPr>
      <w:r w:rsidRPr="00DA70EC">
        <w:rPr>
          <w:color w:val="0088B8"/>
        </w:rPr>
        <w:t>Efficacia organizzativa</w:t>
      </w:r>
      <w:r>
        <w:t>: riqualificazione continua dell’organizzazione in risposta agli stimoli al cambiamento, esterni ed interni, e al costante aggiornamento professionale e delle competenze;</w:t>
      </w:r>
    </w:p>
    <w:p w:rsidR="00A447D4" w:rsidRDefault="00A447D4" w:rsidP="00A447D4">
      <w:pPr>
        <w:pStyle w:val="Paragrafoelenco"/>
        <w:numPr>
          <w:ilvl w:val="0"/>
          <w:numId w:val="9"/>
        </w:numPr>
        <w:jc w:val="both"/>
      </w:pPr>
      <w:r w:rsidRPr="00DA70EC">
        <w:rPr>
          <w:color w:val="0088B8"/>
        </w:rPr>
        <w:t>Efficacia interna</w:t>
      </w:r>
      <w:r>
        <w:t>: raggiungimento degli obiettivi posti in capo ai soggetti che a vario titolo sono chiamati a realizzare le proprie finalità istituzionali.</w:t>
      </w:r>
    </w:p>
    <w:p w:rsidR="0051467B" w:rsidRDefault="0051467B" w:rsidP="0051467B">
      <w:pPr>
        <w:pStyle w:val="Paragrafoelenco"/>
        <w:jc w:val="both"/>
      </w:pPr>
    </w:p>
    <w:p w:rsidR="00FB3E05" w:rsidRPr="00F7104F" w:rsidRDefault="00F7104F" w:rsidP="00FB3E05">
      <w:pPr>
        <w:ind w:firstLine="708"/>
        <w:jc w:val="both"/>
        <w:rPr>
          <w:b/>
          <w:i/>
          <w:color w:val="0070C0"/>
        </w:rPr>
      </w:pPr>
      <w:r w:rsidRPr="00F7104F">
        <w:rPr>
          <w:b/>
          <w:i/>
          <w:color w:val="0070C0"/>
        </w:rPr>
        <w:t>7.</w:t>
      </w:r>
      <w:r w:rsidR="00E16D35">
        <w:rPr>
          <w:b/>
          <w:i/>
          <w:color w:val="0070C0"/>
        </w:rPr>
        <w:t>3.</w:t>
      </w:r>
      <w:r w:rsidRPr="00F7104F">
        <w:rPr>
          <w:b/>
          <w:i/>
          <w:color w:val="0070C0"/>
        </w:rPr>
        <w:t xml:space="preserve">1 </w:t>
      </w:r>
      <w:r w:rsidR="00FB3E05" w:rsidRPr="00F7104F">
        <w:rPr>
          <w:b/>
          <w:i/>
          <w:color w:val="0070C0"/>
        </w:rPr>
        <w:t>Interventi Area Sanitaria</w:t>
      </w:r>
    </w:p>
    <w:p w:rsidR="003F2C06" w:rsidRDefault="003F2C06" w:rsidP="003F2C06">
      <w:pPr>
        <w:jc w:val="both"/>
      </w:pPr>
      <w:r>
        <w:t>Nel corso del 2016 l’Azienda si propone di portare avanti il percorso di riorganizzazione delle attività sanitarie già intrapreso nel corso dell’anno 2015, mediante l’implementazione e il consolidamento di modelli assistenziali innovativi finalizzati da un lato a rispondere a logiche di efficienza e di produttività, dall’altro a garantire coerenza tra bisogno di salute e “setting” della risposta assistenziale, fra integrazione clinica multidisciplinare e integrazione con la ricerca e la didattica.</w:t>
      </w:r>
    </w:p>
    <w:p w:rsidR="003F2C06" w:rsidRDefault="003F2C06" w:rsidP="003F2C06">
      <w:pPr>
        <w:jc w:val="both"/>
      </w:pPr>
      <w:r>
        <w:t>Tale trasformazione organizzativa viene perseguita promuovendo quattro linee di intervento organizzativo:</w:t>
      </w:r>
    </w:p>
    <w:p w:rsidR="003F2C06" w:rsidRDefault="003F2C06" w:rsidP="003F2C06">
      <w:pPr>
        <w:pStyle w:val="Paragrafoelenco"/>
        <w:numPr>
          <w:ilvl w:val="0"/>
          <w:numId w:val="24"/>
        </w:numPr>
        <w:jc w:val="both"/>
      </w:pPr>
      <w:r>
        <w:t xml:space="preserve">Integrazione clinica: sviluppo del ruolo dei dipartimenti e dalla capacità di tutti i professionisti di lavorare in team; </w:t>
      </w:r>
    </w:p>
    <w:p w:rsidR="003F2C06" w:rsidRDefault="003F2C06" w:rsidP="003F2C06">
      <w:pPr>
        <w:pStyle w:val="Paragrafoelenco"/>
        <w:numPr>
          <w:ilvl w:val="0"/>
          <w:numId w:val="24"/>
        </w:numPr>
        <w:jc w:val="both"/>
      </w:pPr>
      <w:r>
        <w:t xml:space="preserve">Integrazione delle risorse: condivisione delle risorse disponibili e possibilità di adottare nuovi schemi logistici; </w:t>
      </w:r>
    </w:p>
    <w:p w:rsidR="003F2C06" w:rsidRDefault="003F2C06" w:rsidP="003F2C06">
      <w:pPr>
        <w:pStyle w:val="Paragrafoelenco"/>
        <w:numPr>
          <w:ilvl w:val="0"/>
          <w:numId w:val="24"/>
        </w:numPr>
        <w:jc w:val="both"/>
      </w:pPr>
      <w:r>
        <w:t xml:space="preserve">Centralità del paziente: organizzazione logistica centrata sui pazienti raggruppati in base a bisogni omogenei; </w:t>
      </w:r>
    </w:p>
    <w:p w:rsidR="003F2C06" w:rsidRDefault="003F2C06" w:rsidP="003F2C06">
      <w:pPr>
        <w:pStyle w:val="Paragrafoelenco"/>
        <w:numPr>
          <w:ilvl w:val="0"/>
          <w:numId w:val="24"/>
        </w:numPr>
        <w:jc w:val="both"/>
      </w:pPr>
      <w:r>
        <w:t xml:space="preserve">Coinvolgimento dei clinici: ridisegno di meccanismi organizzativi (liste di attesa, criteri di ingresso, dimissione ecc. e definizione di nuovi ruoli).  </w:t>
      </w:r>
    </w:p>
    <w:p w:rsidR="003F2C06" w:rsidRDefault="003F2C06" w:rsidP="003F2C06">
      <w:pPr>
        <w:jc w:val="both"/>
      </w:pPr>
      <w:r>
        <w:t>Sulla base di questo disegno, è possibile identificare quattro aree strategiche all’interno delle quali l’Azienda si muove in un continuo divenire.</w:t>
      </w:r>
    </w:p>
    <w:p w:rsidR="003F2C06" w:rsidRDefault="003F2C06" w:rsidP="003F2C06">
      <w:pPr>
        <w:pStyle w:val="Paragrafoelenco"/>
        <w:numPr>
          <w:ilvl w:val="0"/>
          <w:numId w:val="27"/>
        </w:numPr>
        <w:jc w:val="both"/>
      </w:pPr>
      <w:r>
        <w:t>Economicità: mantenimento dell’equilibrio finanziario, economico e patrimoniale, e riduzione dell’indebitamento;</w:t>
      </w:r>
    </w:p>
    <w:p w:rsidR="003F2C06" w:rsidRDefault="003F2C06" w:rsidP="003F2C06">
      <w:pPr>
        <w:pStyle w:val="Paragrafoelenco"/>
        <w:numPr>
          <w:ilvl w:val="0"/>
          <w:numId w:val="27"/>
        </w:numPr>
        <w:jc w:val="both"/>
      </w:pPr>
      <w:r>
        <w:t xml:space="preserve">Efficacia esterna: soddisfacimento dei bisogni di salute della collettività con particolare attenzione alla qualità dell’offerta sanitaria; </w:t>
      </w:r>
    </w:p>
    <w:p w:rsidR="003F2C06" w:rsidRDefault="003F2C06" w:rsidP="003F2C06">
      <w:pPr>
        <w:pStyle w:val="Paragrafoelenco"/>
        <w:numPr>
          <w:ilvl w:val="0"/>
          <w:numId w:val="27"/>
        </w:numPr>
        <w:jc w:val="both"/>
      </w:pPr>
      <w:r>
        <w:t>Efficacia organizzativa: riqualificazione continua dell’organizzazione in risposta agli stimoli al cambiamento, esterni ed interni, e al costante aggiornamento professionale e delle competenze;</w:t>
      </w:r>
    </w:p>
    <w:p w:rsidR="003F2C06" w:rsidRDefault="003F2C06" w:rsidP="003F2C06">
      <w:pPr>
        <w:pStyle w:val="Paragrafoelenco"/>
        <w:numPr>
          <w:ilvl w:val="0"/>
          <w:numId w:val="27"/>
        </w:numPr>
        <w:jc w:val="both"/>
      </w:pPr>
      <w:r>
        <w:t>Efficacia interna: raggiungimento degli obiettivi posti in capo ai soggetti che a vario titolo sono chiamati a realizzare le proprie finalità istituzionali.</w:t>
      </w:r>
    </w:p>
    <w:p w:rsidR="003F2C06" w:rsidRDefault="003F2C06" w:rsidP="003F2C06">
      <w:pPr>
        <w:jc w:val="both"/>
      </w:pPr>
      <w:r>
        <w:t xml:space="preserve">Le principali aree di intervento, che saranno oggetto di interventi di razionalizzazione e riorganizzazione dei processi Aziendali, ad impatto significativo sulla appropriatezza delle prestazioni erogate, sulla logistica e sull’organizzazione sono: </w:t>
      </w:r>
    </w:p>
    <w:p w:rsidR="005E5418" w:rsidRDefault="005E5418" w:rsidP="003F2C06">
      <w:pPr>
        <w:jc w:val="both"/>
      </w:pPr>
    </w:p>
    <w:p w:rsidR="003F2C06" w:rsidRPr="003F2C06" w:rsidRDefault="003F2C06" w:rsidP="003F2C06">
      <w:pPr>
        <w:pStyle w:val="Paragrafoelenco"/>
        <w:numPr>
          <w:ilvl w:val="0"/>
          <w:numId w:val="28"/>
        </w:numPr>
        <w:jc w:val="both"/>
        <w:rPr>
          <w:b/>
          <w:i/>
        </w:rPr>
      </w:pPr>
      <w:r w:rsidRPr="003F2C06">
        <w:rPr>
          <w:b/>
          <w:i/>
        </w:rPr>
        <w:lastRenderedPageBreak/>
        <w:t>Area Oncologico-Chirurgica</w:t>
      </w:r>
    </w:p>
    <w:p w:rsidR="003F2C06" w:rsidRDefault="003F2C06" w:rsidP="003F2C06">
      <w:pPr>
        <w:jc w:val="both"/>
      </w:pPr>
      <w:r>
        <w:t>Nel corso dell’anno 2015 è stato aperto il “Nuovo Padiglione Oncologico” al padiglione n.24 del PO Civico, le cui attività sono in corso di implementazione secondo il modello sperimentale per “intensità di cure”. Il modello garantisce ad ogni paziente il livello di cura definito in seguito ad una valutazione relativa alla stabilità clinica (associata a determinate alterazioni di parametri fisiologici) e alla complessità assistenziale (medica e infermieristica). Nell’ambito di tale modello, si svilupperà nel corso del 2016, un’area dedicata alla week-surgery operativa 5 giorni su 7, finalizzata ad ottimizzare tanto i tempi di degenza quanto le risorse dedicate. L’avvio di una nuova linea di attività relativa alla Ginecologia Oncologica e il potenziamento delle attività di Chirurgia Oncologica definiranno il ruolo di polo oncologico chirurgico che oggi risulta già pienamente operativo in ambito urologico e toracico. La Medicina Nucleare troverà la sua giusta collocazione funzionale all’interno nel “Nuovo Padiglione Oncologico”.</w:t>
      </w:r>
    </w:p>
    <w:p w:rsidR="003F2C06" w:rsidRPr="003F2C06" w:rsidRDefault="003F2C06" w:rsidP="003F2C06">
      <w:pPr>
        <w:pStyle w:val="Paragrafoelenco"/>
        <w:numPr>
          <w:ilvl w:val="0"/>
          <w:numId w:val="28"/>
        </w:numPr>
        <w:jc w:val="both"/>
        <w:rPr>
          <w:b/>
          <w:i/>
        </w:rPr>
      </w:pPr>
      <w:r w:rsidRPr="003F2C06">
        <w:rPr>
          <w:b/>
          <w:i/>
        </w:rPr>
        <w:t>Area Pediatrica</w:t>
      </w:r>
    </w:p>
    <w:p w:rsidR="003F2C06" w:rsidRDefault="003F2C06" w:rsidP="003F2C06">
      <w:pPr>
        <w:jc w:val="both"/>
      </w:pPr>
      <w:r>
        <w:t>Si procederà all’implementazione del modello sperimentale per “intensità di cure” anche all’ospedale Pediatrico. Il primo momento di tale implementazione prevede l’attivazione, all’interno del PO G. Di Cristina, di un Presidio Territoriale Ambulatoriale cui differire la patologia a bassa complessità oggi in carico agli ambulatori ospedalieri e al PS pediatrico. Ciò consentirà di svincolare risorse da aree scarsamente produttive per concentrarle nell’ambito dell’alta complessità. Questa trasformazione risulterà propedeutica e facilitante rispetto al trasferimento delle attività pediatriche presso il costruendo Istituto mediterraneo di eccellenza pediatrica (ISMEP).</w:t>
      </w:r>
    </w:p>
    <w:p w:rsidR="003F2C06" w:rsidRPr="003F2C06" w:rsidRDefault="003F2C06" w:rsidP="003F2C06">
      <w:pPr>
        <w:pStyle w:val="Paragrafoelenco"/>
        <w:numPr>
          <w:ilvl w:val="0"/>
          <w:numId w:val="28"/>
        </w:numPr>
        <w:jc w:val="both"/>
        <w:rPr>
          <w:b/>
          <w:i/>
        </w:rPr>
      </w:pPr>
      <w:r w:rsidRPr="003F2C06">
        <w:rPr>
          <w:b/>
          <w:i/>
        </w:rPr>
        <w:t xml:space="preserve">Area di Emergenza </w:t>
      </w:r>
    </w:p>
    <w:p w:rsidR="003F2C06" w:rsidRDefault="003F2C06" w:rsidP="003F2C06">
      <w:pPr>
        <w:jc w:val="both"/>
      </w:pPr>
      <w:r>
        <w:t>I lavori di ristrutturazione del Pronto Soccorso del PO Civico, già definiti per quello che riguarda l’area di triage e la separazione dei percorsi di ingresso ambulanze/pedoni, disegneranno un’area logisticamente più funzionale e certamente più idonea all’accoglienza e al trattamento dei circa 90.000 pazienti/anno che si rivolgono all’Area di Emergenza. Il previsto superamento del concetto di “sala visita” porterà alla definizione di una grande area di visita/trattamento portando ad una significativa riduzione dei tempi di attesa. La collocazione dell’Osservazione Breve in area complanare e adiacente al Pronto Soccorso favorirà, anche in termini strutturali, l’integrazione fra le attività delle due aree.</w:t>
      </w:r>
    </w:p>
    <w:p w:rsidR="003F2C06" w:rsidRDefault="003F2C06" w:rsidP="003F2C06">
      <w:pPr>
        <w:jc w:val="both"/>
      </w:pPr>
      <w:r>
        <w:t>Parallelamente alle modifiche strutturali, la cui realizzazione porta di per sé ad una riduzione delle attese, andranno implementati tutti quei percorsi, aziendali e interaziendali, finalizzati a snellire i tempi di permanenza del paziente in Area di Emergenza, oggi appesantiti dall’attesa di esami diagnostici e consulenze specialistiche. Pertanto, verranno definiti percorsi esclusivamente dedicati ai pazienti provenienti da PS per:</w:t>
      </w:r>
    </w:p>
    <w:p w:rsidR="003F2C06" w:rsidRDefault="003F2C06" w:rsidP="003F2C06">
      <w:pPr>
        <w:jc w:val="both"/>
      </w:pPr>
      <w:r>
        <w:t>- la diagnostica di laboratorio,</w:t>
      </w:r>
    </w:p>
    <w:p w:rsidR="003F2C06" w:rsidRDefault="003F2C06" w:rsidP="003F2C06">
      <w:pPr>
        <w:jc w:val="both"/>
      </w:pPr>
      <w:r>
        <w:t>- la diagnostica radiologica standard e TAC,</w:t>
      </w:r>
    </w:p>
    <w:p w:rsidR="003F2C06" w:rsidRDefault="003F2C06" w:rsidP="003F2C06">
      <w:pPr>
        <w:jc w:val="both"/>
      </w:pPr>
      <w:r>
        <w:t xml:space="preserve">- la dimissione a struttura ambulatoriale aziendale e extra-aziendale per tutte quelle patologie in cui sia indicato il differimento di diagnostica e/o terapia. </w:t>
      </w:r>
    </w:p>
    <w:p w:rsidR="003F2C06" w:rsidRDefault="003F2C06" w:rsidP="003F2C06">
      <w:pPr>
        <w:jc w:val="both"/>
      </w:pPr>
      <w:r>
        <w:t>Inoltre, si darà risposta alla domanda di ricovero in area medica in urgenza, riducendo le permanenze pre-ricovero in Pronto Soccorso e il ricorso, oggi necessario, al ricovero presso Case di Cura Accreditate, attivando tutti i posti letto di medicina d’urgenza previsti dalla rete ospedaliera.</w:t>
      </w:r>
    </w:p>
    <w:p w:rsidR="003F2C06" w:rsidRPr="003F2C06" w:rsidRDefault="003F2C06" w:rsidP="003F2C06">
      <w:pPr>
        <w:pStyle w:val="Paragrafoelenco"/>
        <w:numPr>
          <w:ilvl w:val="0"/>
          <w:numId w:val="28"/>
        </w:numPr>
        <w:jc w:val="both"/>
        <w:rPr>
          <w:b/>
          <w:i/>
        </w:rPr>
      </w:pPr>
      <w:r w:rsidRPr="003F2C06">
        <w:rPr>
          <w:b/>
          <w:i/>
        </w:rPr>
        <w:lastRenderedPageBreak/>
        <w:t>Riorganizzazione degli ambulatori</w:t>
      </w:r>
    </w:p>
    <w:p w:rsidR="003F2C06" w:rsidRDefault="003F2C06" w:rsidP="003F2C06">
      <w:pPr>
        <w:jc w:val="both"/>
      </w:pPr>
      <w:r>
        <w:t>Sono già in atto una serie di iniziative finalizzate alla riduzione dei tempi di attesa delle prestazioni ambulatoriali, tanto in favore degli utenti esterni quanto in favore degli interni (pazienti ricoverati).</w:t>
      </w:r>
    </w:p>
    <w:p w:rsidR="003F2C06" w:rsidRDefault="003F2C06" w:rsidP="003F2C06">
      <w:pPr>
        <w:jc w:val="both"/>
      </w:pPr>
      <w:r>
        <w:t>Lo snellimento dei percorsi diagnostici, anche attraverso l’implementazione di nuovi modelli organizzativi, favorirà indirettamente la riduzione delle degenze medie dei reparti di degenza e aumentandone il turn-over, aumenterà potenzialmente la produttività su singolo posto letto.</w:t>
      </w:r>
    </w:p>
    <w:p w:rsidR="003F2C06" w:rsidRDefault="003F2C06" w:rsidP="003F2C06">
      <w:pPr>
        <w:jc w:val="both"/>
      </w:pPr>
    </w:p>
    <w:p w:rsidR="00FB3E05" w:rsidRPr="00F7104F" w:rsidRDefault="00F7104F" w:rsidP="00F7104F">
      <w:pPr>
        <w:jc w:val="both"/>
        <w:rPr>
          <w:b/>
          <w:i/>
          <w:color w:val="0070C0"/>
        </w:rPr>
      </w:pPr>
      <w:r w:rsidRPr="00F7104F">
        <w:rPr>
          <w:b/>
          <w:i/>
          <w:color w:val="0070C0"/>
        </w:rPr>
        <w:t>7.</w:t>
      </w:r>
      <w:r w:rsidR="00E16D35">
        <w:rPr>
          <w:b/>
          <w:i/>
          <w:color w:val="0070C0"/>
        </w:rPr>
        <w:t>3.</w:t>
      </w:r>
      <w:r w:rsidRPr="00F7104F">
        <w:rPr>
          <w:b/>
          <w:i/>
          <w:color w:val="0070C0"/>
        </w:rPr>
        <w:t xml:space="preserve">2 </w:t>
      </w:r>
      <w:r w:rsidR="00FB3E05" w:rsidRPr="00F7104F">
        <w:rPr>
          <w:b/>
          <w:i/>
          <w:color w:val="0070C0"/>
        </w:rPr>
        <w:t>Interventi Area Amministrativa</w:t>
      </w:r>
    </w:p>
    <w:p w:rsidR="00FB3E05" w:rsidRDefault="003F2C06" w:rsidP="00FB3E05">
      <w:pPr>
        <w:pStyle w:val="Paragrafoelenco"/>
        <w:numPr>
          <w:ilvl w:val="0"/>
          <w:numId w:val="5"/>
        </w:numPr>
        <w:jc w:val="both"/>
      </w:pPr>
      <w:r>
        <w:rPr>
          <w:color w:val="000066"/>
        </w:rPr>
        <w:t xml:space="preserve">Consolidamento </w:t>
      </w:r>
      <w:r w:rsidR="00FB3E05" w:rsidRPr="0066387E">
        <w:rPr>
          <w:color w:val="000066"/>
        </w:rPr>
        <w:t>dei principali processi amministrativi</w:t>
      </w:r>
      <w:r>
        <w:rPr>
          <w:color w:val="000066"/>
        </w:rPr>
        <w:t xml:space="preserve"> oggetto di riorganizzazione nel corso del 2015</w:t>
      </w:r>
      <w:r w:rsidR="00FB3E05">
        <w:t xml:space="preserve"> implementando nuove procedure operative e nuovi meccanismi di controllo intesi a facilitare la fluidità delle attività, mitigare i rischi di commissione di reati e preservare la trasparenza e la legalità dell’azione amministrativa; tra essi in particolare, la revisione del ciclo passivo, della gestione dei magazzini e delle procedure contabili aziendali per facilitare il sistema di rilevazione e controllo dei fatti gestionali, la stesura del bilancio annuale, il sistema di contabilità analitica, il riassorbimento del fenomeno delle sopravvenienze passive (fatture da ricevere);</w:t>
      </w:r>
    </w:p>
    <w:p w:rsidR="00FB3E05" w:rsidRDefault="00FB3E05" w:rsidP="00FB3E05">
      <w:pPr>
        <w:pStyle w:val="Paragrafoelenco"/>
        <w:numPr>
          <w:ilvl w:val="0"/>
          <w:numId w:val="5"/>
        </w:numPr>
        <w:jc w:val="both"/>
      </w:pPr>
      <w:r w:rsidRPr="0066387E">
        <w:rPr>
          <w:color w:val="000066"/>
        </w:rPr>
        <w:t>Puntuale programmazione e realizzazione degli investimenti</w:t>
      </w:r>
      <w:r>
        <w:t xml:space="preserve"> previsti per il rispetto dei tempi utili all’ottenimento dei contributi già disponibili e per limitare al massimo il disagio di pazienti ed operatori interni;</w:t>
      </w:r>
    </w:p>
    <w:p w:rsidR="00FB3E05" w:rsidRDefault="00FB3E05" w:rsidP="00FB3E05">
      <w:pPr>
        <w:pStyle w:val="Paragrafoelenco"/>
        <w:numPr>
          <w:ilvl w:val="0"/>
          <w:numId w:val="5"/>
        </w:numPr>
        <w:jc w:val="both"/>
      </w:pPr>
      <w:r w:rsidRPr="0066387E">
        <w:rPr>
          <w:color w:val="000066"/>
        </w:rPr>
        <w:t>Ammodernamento del sistema informatico aziendale</w:t>
      </w:r>
      <w:r w:rsidRPr="0066387E">
        <w:rPr>
          <w:b/>
        </w:rPr>
        <w:t xml:space="preserve"> </w:t>
      </w:r>
      <w:r>
        <w:t>attraverso la valutazione di un nuovo S.I.A. integrato e funzionale di area sia amministrativa sia sanitaria;</w:t>
      </w:r>
    </w:p>
    <w:p w:rsidR="00FB3E05" w:rsidRDefault="00FB3E05" w:rsidP="00FB3E05">
      <w:pPr>
        <w:pStyle w:val="Paragrafoelenco"/>
        <w:numPr>
          <w:ilvl w:val="0"/>
          <w:numId w:val="5"/>
        </w:numPr>
        <w:jc w:val="both"/>
      </w:pPr>
      <w:r w:rsidRPr="0066387E">
        <w:rPr>
          <w:color w:val="000066"/>
        </w:rPr>
        <w:t>Ottimizzazione della gestione finanziaria</w:t>
      </w:r>
      <w:r>
        <w:t xml:space="preserve"> attraverso la riduzione delle immobilizzazioni dei magazzini (centrale e di reparto), la programmazione mensile dei flussi finanziari e la programmazione dei pagamenti ai fornitori;</w:t>
      </w:r>
    </w:p>
    <w:p w:rsidR="00FB3E05" w:rsidRDefault="00FB3E05" w:rsidP="00FB3E05">
      <w:pPr>
        <w:pStyle w:val="Paragrafoelenco"/>
        <w:numPr>
          <w:ilvl w:val="0"/>
          <w:numId w:val="5"/>
        </w:numPr>
        <w:jc w:val="both"/>
      </w:pPr>
      <w:r w:rsidRPr="0066387E">
        <w:rPr>
          <w:color w:val="000066"/>
        </w:rPr>
        <w:t>Implementazione di un sistema di costante monitoraggio dell’andamento economico aziendale</w:t>
      </w:r>
      <w:r w:rsidRPr="0066387E">
        <w:rPr>
          <w:b/>
          <w:color w:val="2592FF"/>
        </w:rPr>
        <w:t xml:space="preserve"> </w:t>
      </w:r>
      <w:r>
        <w:t>per consentire di valutare l’avanzamento del Piano, gli eventuali scostamenti, raccordando così il Piano agli strumenti di programmazione aziendale.</w:t>
      </w:r>
    </w:p>
    <w:p w:rsidR="00FB3E05" w:rsidRDefault="00FB3E05" w:rsidP="00FB3E05">
      <w:pPr>
        <w:pStyle w:val="Paragrafoelenco"/>
        <w:numPr>
          <w:ilvl w:val="0"/>
          <w:numId w:val="5"/>
        </w:numPr>
        <w:jc w:val="both"/>
      </w:pPr>
      <w:r w:rsidRPr="0066387E">
        <w:rPr>
          <w:color w:val="000066"/>
        </w:rPr>
        <w:t>Ampio utilizzo delle gare regionali e di bacino</w:t>
      </w:r>
      <w:r>
        <w:t>, laddove previste dalla normativa regionale, per beneficiare dei risparmi indotti dalle iniziative regionali;</w:t>
      </w:r>
    </w:p>
    <w:p w:rsidR="00FB3E05" w:rsidRDefault="00FB3E05" w:rsidP="00FB3E05">
      <w:pPr>
        <w:pStyle w:val="Paragrafoelenco"/>
        <w:numPr>
          <w:ilvl w:val="0"/>
          <w:numId w:val="5"/>
        </w:numPr>
        <w:jc w:val="both"/>
      </w:pPr>
      <w:r w:rsidRPr="0066387E">
        <w:rPr>
          <w:color w:val="000066"/>
        </w:rPr>
        <w:t>Incremento dell’utilizzo delle convenzioni Consip e di gare consorziate</w:t>
      </w:r>
      <w:r>
        <w:t xml:space="preserve"> con altre Aziende Ospedaliere per beneficiare delle correlate economie di scala;</w:t>
      </w:r>
    </w:p>
    <w:p w:rsidR="00FB3E05" w:rsidRDefault="00FB3E05" w:rsidP="00FB3E05">
      <w:pPr>
        <w:pStyle w:val="Paragrafoelenco"/>
        <w:numPr>
          <w:ilvl w:val="0"/>
          <w:numId w:val="5"/>
        </w:numPr>
        <w:jc w:val="both"/>
      </w:pPr>
      <w:r w:rsidRPr="0066387E">
        <w:rPr>
          <w:color w:val="000066"/>
        </w:rPr>
        <w:t>Sistematica attività di rinegoziazione</w:t>
      </w:r>
      <w:r>
        <w:t xml:space="preserve">, laddove possibile, </w:t>
      </w:r>
      <w:r w:rsidRPr="0066387E">
        <w:rPr>
          <w:color w:val="000066"/>
        </w:rPr>
        <w:t>dei contratti di fornitura e di servizi</w:t>
      </w:r>
      <w:r w:rsidRPr="00BD1B37">
        <w:rPr>
          <w:color w:val="000066"/>
        </w:rPr>
        <w:t>o</w:t>
      </w:r>
      <w:r>
        <w:t xml:space="preserve"> in essere, relativa anche a contratti di importo più modesto, onde beneficiare rapidamente di ulteriori risparmi di gestione;</w:t>
      </w:r>
    </w:p>
    <w:p w:rsidR="00FB3E05" w:rsidRDefault="00FB3E05" w:rsidP="00FB3E05">
      <w:pPr>
        <w:pStyle w:val="Paragrafoelenco"/>
        <w:numPr>
          <w:ilvl w:val="0"/>
          <w:numId w:val="5"/>
        </w:numPr>
        <w:jc w:val="both"/>
      </w:pPr>
      <w:r w:rsidRPr="0066387E">
        <w:rPr>
          <w:color w:val="000066"/>
        </w:rPr>
        <w:t>Forte riduzione</w:t>
      </w:r>
      <w:r>
        <w:t xml:space="preserve">, fino all’azzeramento, del sistema </w:t>
      </w:r>
      <w:r w:rsidRPr="0066387E">
        <w:rPr>
          <w:color w:val="000066"/>
        </w:rPr>
        <w:t>delle proroghe dei contratti</w:t>
      </w:r>
      <w:r>
        <w:t xml:space="preserve"> e più puntuale programmazione delle gare ad evidenza pubblica al fine di beneficiare di ulteriori risparmi nell’acquisto dei beni e servizi.</w:t>
      </w:r>
    </w:p>
    <w:p w:rsidR="00603586" w:rsidRDefault="00603586" w:rsidP="00953FCB">
      <w:pPr>
        <w:ind w:firstLine="708"/>
        <w:jc w:val="both"/>
      </w:pPr>
    </w:p>
    <w:p w:rsidR="00603586" w:rsidRDefault="00603586" w:rsidP="00953FCB">
      <w:pPr>
        <w:ind w:firstLine="708"/>
        <w:jc w:val="both"/>
      </w:pPr>
    </w:p>
    <w:p w:rsidR="00603586" w:rsidRDefault="00603586" w:rsidP="005E5418">
      <w:pPr>
        <w:jc w:val="both"/>
      </w:pPr>
    </w:p>
    <w:p w:rsidR="00603586" w:rsidRDefault="00603586" w:rsidP="0051467B">
      <w:pPr>
        <w:jc w:val="both"/>
      </w:pPr>
    </w:p>
    <w:sectPr w:rsidR="00603586" w:rsidSect="002C685F">
      <w:headerReference w:type="default" r:id="rId28"/>
      <w:footerReference w:type="default" r:id="rId29"/>
      <w:pgSz w:w="11906" w:h="16838"/>
      <w:pgMar w:top="1417" w:right="1134" w:bottom="1134" w:left="1134"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AFB" w:rsidRDefault="00FD4AFB" w:rsidP="0089478C">
      <w:pPr>
        <w:spacing w:after="0" w:line="240" w:lineRule="auto"/>
      </w:pPr>
      <w:r>
        <w:separator/>
      </w:r>
    </w:p>
  </w:endnote>
  <w:endnote w:type="continuationSeparator" w:id="0">
    <w:p w:rsidR="00FD4AFB" w:rsidRDefault="00FD4AFB" w:rsidP="0089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868584"/>
      <w:docPartObj>
        <w:docPartGallery w:val="Page Numbers (Bottom of Page)"/>
        <w:docPartUnique/>
      </w:docPartObj>
    </w:sdtPr>
    <w:sdtContent>
      <w:p w:rsidR="00523DC2" w:rsidRDefault="00523DC2">
        <w:pPr>
          <w:pStyle w:val="Pidipagina"/>
          <w:jc w:val="center"/>
        </w:pPr>
        <w:r>
          <w:fldChar w:fldCharType="begin"/>
        </w:r>
        <w:r>
          <w:instrText>PAGE   \* MERGEFORMAT</w:instrText>
        </w:r>
        <w:r>
          <w:fldChar w:fldCharType="separate"/>
        </w:r>
        <w:r w:rsidR="0066543E">
          <w:rPr>
            <w:noProof/>
          </w:rPr>
          <w:t>3</w:t>
        </w:r>
        <w:r>
          <w:fldChar w:fldCharType="end"/>
        </w:r>
      </w:p>
    </w:sdtContent>
  </w:sdt>
  <w:p w:rsidR="00523DC2" w:rsidRDefault="00523DC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AFB" w:rsidRDefault="00FD4AFB" w:rsidP="0089478C">
      <w:pPr>
        <w:spacing w:after="0" w:line="240" w:lineRule="auto"/>
      </w:pPr>
      <w:r>
        <w:separator/>
      </w:r>
    </w:p>
  </w:footnote>
  <w:footnote w:type="continuationSeparator" w:id="0">
    <w:p w:rsidR="00FD4AFB" w:rsidRDefault="00FD4AFB" w:rsidP="00894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DC2" w:rsidRPr="0089478C" w:rsidRDefault="00523DC2" w:rsidP="0089478C">
    <w:pPr>
      <w:spacing w:line="230" w:lineRule="exact"/>
      <w:ind w:right="-113"/>
      <w:jc w:val="center"/>
      <w:rPr>
        <w:rFonts w:eastAsia="Arial" w:cs="Arial"/>
        <w:i/>
        <w:iCs/>
        <w:color w:val="5A5A5A"/>
        <w:w w:val="92"/>
        <w:sz w:val="19"/>
        <w:szCs w:val="19"/>
      </w:rPr>
    </w:pPr>
    <w:r w:rsidRPr="0089478C">
      <w:rPr>
        <w:rFonts w:eastAsia="Arial" w:cs="Arial"/>
        <w:i/>
        <w:iCs/>
        <w:color w:val="5A5A5A"/>
        <w:w w:val="92"/>
        <w:sz w:val="19"/>
        <w:szCs w:val="19"/>
      </w:rPr>
      <w:t>Piano delle Performance 201</w:t>
    </w:r>
    <w:r>
      <w:rPr>
        <w:rFonts w:eastAsia="Arial" w:cs="Arial"/>
        <w:i/>
        <w:iCs/>
        <w:color w:val="5A5A5A"/>
        <w:w w:val="92"/>
        <w:sz w:val="19"/>
        <w:szCs w:val="19"/>
      </w:rPr>
      <w:t>6</w:t>
    </w:r>
    <w:r w:rsidRPr="0089478C">
      <w:rPr>
        <w:rFonts w:eastAsia="Arial" w:cs="Arial"/>
        <w:i/>
        <w:iCs/>
        <w:color w:val="5A5A5A"/>
        <w:w w:val="92"/>
        <w:sz w:val="19"/>
        <w:szCs w:val="19"/>
      </w:rPr>
      <w:t xml:space="preserve"> – ARNAS Civico G. Di Cristina Benfratelli</w:t>
    </w:r>
  </w:p>
  <w:p w:rsidR="00523DC2" w:rsidRDefault="00523DC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5CA1"/>
    <w:multiLevelType w:val="hybridMultilevel"/>
    <w:tmpl w:val="91B8E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94109"/>
    <w:multiLevelType w:val="hybridMultilevel"/>
    <w:tmpl w:val="DB2CA878"/>
    <w:lvl w:ilvl="0" w:tplc="599E87B6">
      <w:start w:val="2"/>
      <w:numFmt w:val="bullet"/>
      <w:lvlText w:val="-"/>
      <w:lvlJc w:val="left"/>
      <w:pPr>
        <w:ind w:left="1069" w:hanging="360"/>
      </w:pPr>
      <w:rPr>
        <w:rFonts w:ascii="Calibri" w:eastAsia="Times New Roman" w:hAnsi="Calibri" w:cs="Aria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 w15:restartNumberingAfterBreak="0">
    <w:nsid w:val="1C7E3235"/>
    <w:multiLevelType w:val="hybridMultilevel"/>
    <w:tmpl w:val="C8E45B1A"/>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3" w15:restartNumberingAfterBreak="0">
    <w:nsid w:val="2091022C"/>
    <w:multiLevelType w:val="hybridMultilevel"/>
    <w:tmpl w:val="31446700"/>
    <w:lvl w:ilvl="0" w:tplc="C5D29B88">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FC1F14"/>
    <w:multiLevelType w:val="hybridMultilevel"/>
    <w:tmpl w:val="5FE0ACD2"/>
    <w:lvl w:ilvl="0" w:tplc="20E2BF7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2F95269"/>
    <w:multiLevelType w:val="hybridMultilevel"/>
    <w:tmpl w:val="EA488F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680A80"/>
    <w:multiLevelType w:val="multilevel"/>
    <w:tmpl w:val="22BA8A08"/>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26B94328"/>
    <w:multiLevelType w:val="hybridMultilevel"/>
    <w:tmpl w:val="105CE4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B7013CF"/>
    <w:multiLevelType w:val="hybridMultilevel"/>
    <w:tmpl w:val="81C631D2"/>
    <w:lvl w:ilvl="0" w:tplc="272C4A52">
      <w:start w:val="4"/>
      <w:numFmt w:val="bullet"/>
      <w:lvlText w:val=""/>
      <w:lvlJc w:val="left"/>
      <w:pPr>
        <w:ind w:left="1080" w:hanging="360"/>
      </w:pPr>
      <w:rPr>
        <w:rFonts w:ascii="Wingdings" w:eastAsiaTheme="minorHAnsi" w:hAnsi="Wingdings"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34490C05"/>
    <w:multiLevelType w:val="hybridMultilevel"/>
    <w:tmpl w:val="58E83D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7A5724F"/>
    <w:multiLevelType w:val="hybridMultilevel"/>
    <w:tmpl w:val="0C7C5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7EB604A"/>
    <w:multiLevelType w:val="hybridMultilevel"/>
    <w:tmpl w:val="04104040"/>
    <w:lvl w:ilvl="0" w:tplc="F1E80F08">
      <w:start w:val="1"/>
      <w:numFmt w:val="decimal"/>
      <w:lvlText w:val="%1."/>
      <w:lvlJc w:val="left"/>
      <w:pPr>
        <w:ind w:left="720" w:hanging="360"/>
      </w:pPr>
      <w:rPr>
        <w:rFonts w:hint="default"/>
        <w:color w:val="00006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B6B3642"/>
    <w:multiLevelType w:val="hybridMultilevel"/>
    <w:tmpl w:val="5296C3EA"/>
    <w:lvl w:ilvl="0" w:tplc="8FE4B084">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F6F4230"/>
    <w:multiLevelType w:val="hybridMultilevel"/>
    <w:tmpl w:val="189A1BDA"/>
    <w:lvl w:ilvl="0" w:tplc="85C8E2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426D5B"/>
    <w:multiLevelType w:val="hybridMultilevel"/>
    <w:tmpl w:val="3418E10A"/>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492D140E"/>
    <w:multiLevelType w:val="hybridMultilevel"/>
    <w:tmpl w:val="55E83C9E"/>
    <w:lvl w:ilvl="0" w:tplc="6A7A252C">
      <w:start w:val="4"/>
      <w:numFmt w:val="bullet"/>
      <w:lvlText w:val=""/>
      <w:lvlJc w:val="left"/>
      <w:pPr>
        <w:ind w:left="1080" w:hanging="360"/>
      </w:pPr>
      <w:rPr>
        <w:rFonts w:ascii="Wingdings" w:eastAsiaTheme="minorHAnsi" w:hAnsi="Wingdings"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573022EA"/>
    <w:multiLevelType w:val="multilevel"/>
    <w:tmpl w:val="6046B270"/>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F659B9"/>
    <w:multiLevelType w:val="hybridMultilevel"/>
    <w:tmpl w:val="EF5E91D8"/>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CE170C1"/>
    <w:multiLevelType w:val="hybridMultilevel"/>
    <w:tmpl w:val="B7523F26"/>
    <w:lvl w:ilvl="0" w:tplc="599E87B6">
      <w:start w:val="2"/>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F6459A5"/>
    <w:multiLevelType w:val="multilevel"/>
    <w:tmpl w:val="D242DB2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63922EB3"/>
    <w:multiLevelType w:val="hybridMultilevel"/>
    <w:tmpl w:val="94040166"/>
    <w:lvl w:ilvl="0" w:tplc="4D60BA5A">
      <w:start w:val="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6B03D48"/>
    <w:multiLevelType w:val="hybridMultilevel"/>
    <w:tmpl w:val="4B461B88"/>
    <w:lvl w:ilvl="0" w:tplc="8FE4B084">
      <w:start w:val="2"/>
      <w:numFmt w:val="bullet"/>
      <w:lvlText w:val="-"/>
      <w:lvlJc w:val="left"/>
      <w:pPr>
        <w:ind w:left="1440" w:hanging="360"/>
      </w:pPr>
      <w:rPr>
        <w:rFonts w:ascii="Calibri" w:eastAsiaTheme="minorHAnsi" w:hAnsi="Calibri"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73014AD9"/>
    <w:multiLevelType w:val="hybridMultilevel"/>
    <w:tmpl w:val="F726128A"/>
    <w:lvl w:ilvl="0" w:tplc="EDDEDD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47C196E"/>
    <w:multiLevelType w:val="hybridMultilevel"/>
    <w:tmpl w:val="A8F07BF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15:restartNumberingAfterBreak="0">
    <w:nsid w:val="77EC5C45"/>
    <w:multiLevelType w:val="hybridMultilevel"/>
    <w:tmpl w:val="1FC6578C"/>
    <w:lvl w:ilvl="0" w:tplc="C5D29B88">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9E23139"/>
    <w:multiLevelType w:val="hybridMultilevel"/>
    <w:tmpl w:val="1B224380"/>
    <w:lvl w:ilvl="0" w:tplc="8FE4B084">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B5B315A"/>
    <w:multiLevelType w:val="hybridMultilevel"/>
    <w:tmpl w:val="2424F3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B677BAB"/>
    <w:multiLevelType w:val="hybridMultilevel"/>
    <w:tmpl w:val="3AB6BD9A"/>
    <w:lvl w:ilvl="0" w:tplc="9C94451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2"/>
  </w:num>
  <w:num w:numId="4">
    <w:abstractNumId w:val="9"/>
  </w:num>
  <w:num w:numId="5">
    <w:abstractNumId w:val="11"/>
  </w:num>
  <w:num w:numId="6">
    <w:abstractNumId w:val="24"/>
  </w:num>
  <w:num w:numId="7">
    <w:abstractNumId w:val="17"/>
  </w:num>
  <w:num w:numId="8">
    <w:abstractNumId w:val="14"/>
  </w:num>
  <w:num w:numId="9">
    <w:abstractNumId w:val="23"/>
  </w:num>
  <w:num w:numId="10">
    <w:abstractNumId w:val="20"/>
  </w:num>
  <w:num w:numId="11">
    <w:abstractNumId w:val="8"/>
  </w:num>
  <w:num w:numId="12">
    <w:abstractNumId w:val="15"/>
  </w:num>
  <w:num w:numId="13">
    <w:abstractNumId w:val="16"/>
  </w:num>
  <w:num w:numId="14">
    <w:abstractNumId w:val="21"/>
  </w:num>
  <w:num w:numId="15">
    <w:abstractNumId w:val="4"/>
  </w:num>
  <w:num w:numId="16">
    <w:abstractNumId w:val="13"/>
  </w:num>
  <w:num w:numId="17">
    <w:abstractNumId w:val="25"/>
  </w:num>
  <w:num w:numId="18">
    <w:abstractNumId w:val="10"/>
  </w:num>
  <w:num w:numId="19">
    <w:abstractNumId w:val="18"/>
  </w:num>
  <w:num w:numId="20">
    <w:abstractNumId w:val="22"/>
  </w:num>
  <w:num w:numId="21">
    <w:abstractNumId w:val="1"/>
  </w:num>
  <w:num w:numId="22">
    <w:abstractNumId w:val="2"/>
  </w:num>
  <w:num w:numId="23">
    <w:abstractNumId w:val="19"/>
  </w:num>
  <w:num w:numId="24">
    <w:abstractNumId w:val="27"/>
  </w:num>
  <w:num w:numId="25">
    <w:abstractNumId w:val="5"/>
  </w:num>
  <w:num w:numId="26">
    <w:abstractNumId w:val="0"/>
  </w:num>
  <w:num w:numId="27">
    <w:abstractNumId w:val="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923"/>
    <w:rsid w:val="00006CC6"/>
    <w:rsid w:val="00014EF6"/>
    <w:rsid w:val="00042E84"/>
    <w:rsid w:val="00061054"/>
    <w:rsid w:val="000A1A28"/>
    <w:rsid w:val="000A4BD7"/>
    <w:rsid w:val="000C2F16"/>
    <w:rsid w:val="000E49C2"/>
    <w:rsid w:val="0010182B"/>
    <w:rsid w:val="0010287D"/>
    <w:rsid w:val="00116897"/>
    <w:rsid w:val="00154BB3"/>
    <w:rsid w:val="001C1EE1"/>
    <w:rsid w:val="001D5B4A"/>
    <w:rsid w:val="001E5E01"/>
    <w:rsid w:val="001F4C2D"/>
    <w:rsid w:val="002234B2"/>
    <w:rsid w:val="002458DB"/>
    <w:rsid w:val="00252366"/>
    <w:rsid w:val="002C685F"/>
    <w:rsid w:val="002E2825"/>
    <w:rsid w:val="00336209"/>
    <w:rsid w:val="0034754C"/>
    <w:rsid w:val="003710CE"/>
    <w:rsid w:val="003D004D"/>
    <w:rsid w:val="003D67E2"/>
    <w:rsid w:val="003F2C06"/>
    <w:rsid w:val="003F64A7"/>
    <w:rsid w:val="00434BB4"/>
    <w:rsid w:val="0044584F"/>
    <w:rsid w:val="004474B3"/>
    <w:rsid w:val="00461EBF"/>
    <w:rsid w:val="004810B5"/>
    <w:rsid w:val="00493EB2"/>
    <w:rsid w:val="004A39EE"/>
    <w:rsid w:val="004B13F9"/>
    <w:rsid w:val="004C2954"/>
    <w:rsid w:val="004C2CC7"/>
    <w:rsid w:val="00507DAD"/>
    <w:rsid w:val="0051467B"/>
    <w:rsid w:val="00523925"/>
    <w:rsid w:val="00523DC2"/>
    <w:rsid w:val="00534233"/>
    <w:rsid w:val="00545E02"/>
    <w:rsid w:val="00550A2C"/>
    <w:rsid w:val="005837E5"/>
    <w:rsid w:val="00593EFB"/>
    <w:rsid w:val="005D364C"/>
    <w:rsid w:val="005E070E"/>
    <w:rsid w:val="005E144C"/>
    <w:rsid w:val="005E3F3B"/>
    <w:rsid w:val="005E5418"/>
    <w:rsid w:val="005F076A"/>
    <w:rsid w:val="005F177D"/>
    <w:rsid w:val="00603586"/>
    <w:rsid w:val="006510AC"/>
    <w:rsid w:val="00653459"/>
    <w:rsid w:val="006570F6"/>
    <w:rsid w:val="0066387E"/>
    <w:rsid w:val="0066543E"/>
    <w:rsid w:val="006964CA"/>
    <w:rsid w:val="006B06CB"/>
    <w:rsid w:val="006F00BD"/>
    <w:rsid w:val="00713EF1"/>
    <w:rsid w:val="007721A7"/>
    <w:rsid w:val="00772D2E"/>
    <w:rsid w:val="00780470"/>
    <w:rsid w:val="007C5B11"/>
    <w:rsid w:val="007D468B"/>
    <w:rsid w:val="007F3CDB"/>
    <w:rsid w:val="00803D3C"/>
    <w:rsid w:val="00833E05"/>
    <w:rsid w:val="008449D4"/>
    <w:rsid w:val="008503CE"/>
    <w:rsid w:val="008577CA"/>
    <w:rsid w:val="00891924"/>
    <w:rsid w:val="0089478C"/>
    <w:rsid w:val="008C0D31"/>
    <w:rsid w:val="008C3A01"/>
    <w:rsid w:val="008D3B17"/>
    <w:rsid w:val="008E1147"/>
    <w:rsid w:val="00913922"/>
    <w:rsid w:val="009157AE"/>
    <w:rsid w:val="00915998"/>
    <w:rsid w:val="009262BF"/>
    <w:rsid w:val="00950C20"/>
    <w:rsid w:val="00953FCB"/>
    <w:rsid w:val="00987F6F"/>
    <w:rsid w:val="009959D2"/>
    <w:rsid w:val="009A5848"/>
    <w:rsid w:val="009B297A"/>
    <w:rsid w:val="009B3359"/>
    <w:rsid w:val="009C468D"/>
    <w:rsid w:val="009D0C43"/>
    <w:rsid w:val="009D43FF"/>
    <w:rsid w:val="009E00DF"/>
    <w:rsid w:val="00A21477"/>
    <w:rsid w:val="00A447D4"/>
    <w:rsid w:val="00A47F24"/>
    <w:rsid w:val="00A61ABF"/>
    <w:rsid w:val="00AA7945"/>
    <w:rsid w:val="00AB2946"/>
    <w:rsid w:val="00AB5750"/>
    <w:rsid w:val="00AF3D16"/>
    <w:rsid w:val="00B23FB2"/>
    <w:rsid w:val="00B25823"/>
    <w:rsid w:val="00B25B6B"/>
    <w:rsid w:val="00B57922"/>
    <w:rsid w:val="00B57F01"/>
    <w:rsid w:val="00B77A1A"/>
    <w:rsid w:val="00B83EF7"/>
    <w:rsid w:val="00BD1B37"/>
    <w:rsid w:val="00BF6AAB"/>
    <w:rsid w:val="00BF7EA5"/>
    <w:rsid w:val="00C13E7C"/>
    <w:rsid w:val="00C144CE"/>
    <w:rsid w:val="00C41F78"/>
    <w:rsid w:val="00C56003"/>
    <w:rsid w:val="00C750D2"/>
    <w:rsid w:val="00CB42EF"/>
    <w:rsid w:val="00D00BE5"/>
    <w:rsid w:val="00D02CD8"/>
    <w:rsid w:val="00D15B9F"/>
    <w:rsid w:val="00D5058F"/>
    <w:rsid w:val="00D61142"/>
    <w:rsid w:val="00D613EE"/>
    <w:rsid w:val="00DA76C6"/>
    <w:rsid w:val="00DA7AC9"/>
    <w:rsid w:val="00DD0175"/>
    <w:rsid w:val="00DD0E8F"/>
    <w:rsid w:val="00DD5460"/>
    <w:rsid w:val="00DE7304"/>
    <w:rsid w:val="00E13A99"/>
    <w:rsid w:val="00E16D35"/>
    <w:rsid w:val="00E270E0"/>
    <w:rsid w:val="00E35923"/>
    <w:rsid w:val="00E37306"/>
    <w:rsid w:val="00E44CA3"/>
    <w:rsid w:val="00E60476"/>
    <w:rsid w:val="00E75E05"/>
    <w:rsid w:val="00E815A6"/>
    <w:rsid w:val="00EA0B8A"/>
    <w:rsid w:val="00EC6429"/>
    <w:rsid w:val="00EC6F20"/>
    <w:rsid w:val="00EF1DBA"/>
    <w:rsid w:val="00EF2216"/>
    <w:rsid w:val="00F22DDE"/>
    <w:rsid w:val="00F3512E"/>
    <w:rsid w:val="00F53C06"/>
    <w:rsid w:val="00F706EA"/>
    <w:rsid w:val="00F7104F"/>
    <w:rsid w:val="00F95F8E"/>
    <w:rsid w:val="00FB3E05"/>
    <w:rsid w:val="00FB3EFA"/>
    <w:rsid w:val="00FC0446"/>
    <w:rsid w:val="00FD1963"/>
    <w:rsid w:val="00FD4AFB"/>
    <w:rsid w:val="00FD54F3"/>
    <w:rsid w:val="00FF36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84DC8"/>
  <w15:docId w15:val="{0C0E069A-6638-4E8F-98FD-7EB60FF64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947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9478C"/>
  </w:style>
  <w:style w:type="paragraph" w:styleId="Pidipagina">
    <w:name w:val="footer"/>
    <w:basedOn w:val="Normale"/>
    <w:link w:val="PidipaginaCarattere"/>
    <w:uiPriority w:val="99"/>
    <w:unhideWhenUsed/>
    <w:rsid w:val="008947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9478C"/>
  </w:style>
  <w:style w:type="paragraph" w:styleId="Testofumetto">
    <w:name w:val="Balloon Text"/>
    <w:basedOn w:val="Normale"/>
    <w:link w:val="TestofumettoCarattere"/>
    <w:uiPriority w:val="99"/>
    <w:semiHidden/>
    <w:unhideWhenUsed/>
    <w:rsid w:val="008947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78C"/>
    <w:rPr>
      <w:rFonts w:ascii="Tahoma" w:hAnsi="Tahoma" w:cs="Tahoma"/>
      <w:sz w:val="16"/>
      <w:szCs w:val="16"/>
    </w:rPr>
  </w:style>
  <w:style w:type="paragraph" w:styleId="Paragrafoelenco">
    <w:name w:val="List Paragraph"/>
    <w:basedOn w:val="Normale"/>
    <w:uiPriority w:val="99"/>
    <w:qFormat/>
    <w:rsid w:val="00DD0175"/>
    <w:pPr>
      <w:ind w:left="720"/>
      <w:contextualSpacing/>
    </w:pPr>
  </w:style>
  <w:style w:type="table" w:styleId="Grigliatabella">
    <w:name w:val="Table Grid"/>
    <w:basedOn w:val="Tabellanormale"/>
    <w:uiPriority w:val="59"/>
    <w:rsid w:val="0037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normale2">
    <w:name w:val="Testo normale2"/>
    <w:basedOn w:val="Normale"/>
    <w:rsid w:val="00FF36C0"/>
    <w:pPr>
      <w:suppressAutoHyphens/>
      <w:spacing w:after="0" w:line="240" w:lineRule="auto"/>
    </w:pPr>
    <w:rPr>
      <w:rFonts w:ascii="Courier New" w:eastAsia="Times New Roman" w:hAnsi="Courier New" w:cs="Courier New"/>
      <w:sz w:val="20"/>
      <w:szCs w:val="20"/>
      <w:lang w:eastAsia="zh-CN"/>
    </w:rPr>
  </w:style>
  <w:style w:type="paragraph" w:customStyle="1" w:styleId="Corpodeltesto21">
    <w:name w:val="Corpo del testo 21"/>
    <w:basedOn w:val="Normale"/>
    <w:rsid w:val="00E270E0"/>
    <w:pPr>
      <w:suppressAutoHyphens/>
      <w:spacing w:after="120" w:line="48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124907">
      <w:bodyDiv w:val="1"/>
      <w:marLeft w:val="0"/>
      <w:marRight w:val="0"/>
      <w:marTop w:val="0"/>
      <w:marBottom w:val="0"/>
      <w:divBdr>
        <w:top w:val="none" w:sz="0" w:space="0" w:color="auto"/>
        <w:left w:val="none" w:sz="0" w:space="0" w:color="auto"/>
        <w:bottom w:val="none" w:sz="0" w:space="0" w:color="auto"/>
        <w:right w:val="none" w:sz="0" w:space="0" w:color="auto"/>
      </w:divBdr>
    </w:div>
    <w:div w:id="901448427">
      <w:bodyDiv w:val="1"/>
      <w:marLeft w:val="0"/>
      <w:marRight w:val="0"/>
      <w:marTop w:val="0"/>
      <w:marBottom w:val="0"/>
      <w:divBdr>
        <w:top w:val="none" w:sz="0" w:space="0" w:color="auto"/>
        <w:left w:val="none" w:sz="0" w:space="0" w:color="auto"/>
        <w:bottom w:val="none" w:sz="0" w:space="0" w:color="auto"/>
        <w:right w:val="none" w:sz="0" w:space="0" w:color="auto"/>
      </w:divBdr>
    </w:div>
    <w:div w:id="1219627682">
      <w:bodyDiv w:val="1"/>
      <w:marLeft w:val="0"/>
      <w:marRight w:val="0"/>
      <w:marTop w:val="0"/>
      <w:marBottom w:val="0"/>
      <w:divBdr>
        <w:top w:val="none" w:sz="0" w:space="0" w:color="auto"/>
        <w:left w:val="none" w:sz="0" w:space="0" w:color="auto"/>
        <w:bottom w:val="none" w:sz="0" w:space="0" w:color="auto"/>
        <w:right w:val="none" w:sz="0" w:space="0" w:color="auto"/>
      </w:divBdr>
    </w:div>
    <w:div w:id="194140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2AE03-1853-4486-A277-C2B0AEA93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11649</Words>
  <Characters>66401</Characters>
  <Application>Microsoft Office Word</Application>
  <DocSecurity>0</DocSecurity>
  <Lines>553</Lines>
  <Paragraphs>155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Sabrina1</dc:creator>
  <cp:keywords/>
  <dc:description/>
  <cp:lastModifiedBy>Sabrina1</cp:lastModifiedBy>
  <cp:revision>2</cp:revision>
  <cp:lastPrinted>2015-01-25T17:15:00Z</cp:lastPrinted>
  <dcterms:created xsi:type="dcterms:W3CDTF">2016-01-25T09:48:00Z</dcterms:created>
  <dcterms:modified xsi:type="dcterms:W3CDTF">2016-01-25T09:48:00Z</dcterms:modified>
</cp:coreProperties>
</file>