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u w:val="single"/>
        </w:rPr>
        <w:t xml:space="preserve">ALLEGATO A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u w:val="single"/>
        </w:rPr>
        <w:t>PROCEDURE SANIFICAZIONE LETTI E MATERASSI MODELLO TOTALCARE HILL-ROM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>
          <w:rFonts w:ascii="Verdana" w:hAnsi="Verdana"/>
        </w:rPr>
        <w:t>La ditta aggiudicataria dovrà effettuare il servizio di disinfezione e pulizia letti e materassi modelli Totalcare Hill-Rom come di seguito indicato:</w:t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>
          <w:rFonts w:ascii="Verdana" w:hAnsi="Verdana"/>
          <w:i/>
          <w:u w:val="single"/>
        </w:rPr>
        <w:t>Ritiro presso U.O.</w:t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29"/>
        <w:numPr>
          <w:ilvl w:val="0"/>
          <w:numId w:val="1"/>
        </w:numPr>
        <w:spacing w:after="0" w:before="0" w:line="100" w:lineRule="atLeast"/>
        <w:contextualSpacing/>
        <w:jc w:val="both"/>
      </w:pPr>
      <w:bookmarkStart w:id="0" w:name="_GoBack"/>
      <w:bookmarkEnd w:id="0"/>
      <w:r>
        <w:rPr>
          <w:rFonts w:ascii="Verdana" w:hAnsi="Verdana"/>
        </w:rPr>
        <w:t>Ritiro sistema letto/materasso, che dovrà essere coperto con apposita pellicola estensibile in ogni sua parte (materasso, sponde laterali, piede letto, testa letto ed eventuali accessori a corredo) e contestuale consegna di letto con materasso antidecubito ad aria con caratteristiche analoghe ai letti in dotazione alla U.O. (è possibile ritirare più unità contemporaneamente)</w:t>
      </w:r>
    </w:p>
    <w:p>
      <w:pPr>
        <w:pStyle w:val="style29"/>
        <w:numPr>
          <w:ilvl w:val="0"/>
          <w:numId w:val="1"/>
        </w:numPr>
        <w:spacing w:after="0" w:before="0" w:line="100" w:lineRule="atLeast"/>
        <w:contextualSpacing/>
      </w:pPr>
      <w:r>
        <w:rPr>
          <w:rFonts w:ascii="Verdana" w:hAnsi="Verdana"/>
        </w:rPr>
        <w:t>Produrre documento di stato d’uso al ritiro del Sistema, così da poter verificare le condizioni tecniche/funzionali prima della bio-decontaminazione con i seguenti dati</w:t>
      </w:r>
    </w:p>
    <w:p>
      <w:pPr>
        <w:pStyle w:val="style29"/>
        <w:numPr>
          <w:ilvl w:val="0"/>
          <w:numId w:val="4"/>
        </w:numPr>
        <w:spacing w:after="0" w:before="0" w:line="100" w:lineRule="atLeast"/>
        <w:contextualSpacing/>
      </w:pPr>
      <w:r>
        <w:rPr>
          <w:rFonts w:ascii="Verdana" w:hAnsi="Verdana"/>
        </w:rPr>
        <w:t>Intestazione Ditta</w:t>
      </w:r>
    </w:p>
    <w:p>
      <w:pPr>
        <w:pStyle w:val="style29"/>
        <w:numPr>
          <w:ilvl w:val="0"/>
          <w:numId w:val="4"/>
        </w:numPr>
        <w:spacing w:after="0" w:before="0" w:line="100" w:lineRule="atLeast"/>
        <w:contextualSpacing/>
      </w:pPr>
      <w:r>
        <w:rPr>
          <w:rFonts w:ascii="Verdana" w:hAnsi="Verdana"/>
        </w:rPr>
        <w:t>P.O. e U.O. di provenienza</w:t>
      </w:r>
    </w:p>
    <w:p>
      <w:pPr>
        <w:pStyle w:val="style29"/>
        <w:numPr>
          <w:ilvl w:val="0"/>
          <w:numId w:val="4"/>
        </w:numPr>
        <w:spacing w:after="0" w:before="0" w:line="100" w:lineRule="atLeast"/>
        <w:contextualSpacing/>
      </w:pPr>
      <w:r>
        <w:rPr>
          <w:rFonts w:ascii="Verdana" w:hAnsi="Verdana"/>
        </w:rPr>
        <w:t>Marca e Modello letto</w:t>
      </w:r>
    </w:p>
    <w:p>
      <w:pPr>
        <w:pStyle w:val="style29"/>
        <w:numPr>
          <w:ilvl w:val="0"/>
          <w:numId w:val="4"/>
        </w:numPr>
        <w:spacing w:after="0" w:before="0" w:line="100" w:lineRule="atLeast"/>
        <w:contextualSpacing/>
      </w:pPr>
      <w:r>
        <w:rPr>
          <w:rFonts w:ascii="Verdana" w:hAnsi="Verdana"/>
        </w:rPr>
        <w:t>N° seriale letto</w:t>
      </w:r>
    </w:p>
    <w:p>
      <w:pPr>
        <w:pStyle w:val="style29"/>
        <w:numPr>
          <w:ilvl w:val="0"/>
          <w:numId w:val="4"/>
        </w:numPr>
        <w:spacing w:after="0" w:before="0" w:line="100" w:lineRule="atLeast"/>
        <w:contextualSpacing/>
      </w:pPr>
      <w:r>
        <w:rPr>
          <w:rFonts w:ascii="Verdana" w:hAnsi="Verdana"/>
        </w:rPr>
        <w:t>Danni e/o guasti riscontrati dettagliati</w:t>
      </w:r>
    </w:p>
    <w:p>
      <w:pPr>
        <w:pStyle w:val="style29"/>
        <w:spacing w:after="0" w:before="0" w:line="100" w:lineRule="atLeast"/>
        <w:contextualSpacing/>
      </w:pPr>
      <w:r>
        <w:rPr>
          <w:rFonts w:ascii="Verdana" w:hAnsi="Verdana"/>
        </w:rPr>
        <w:t xml:space="preserve"> </w:t>
      </w:r>
    </w:p>
    <w:p>
      <w:pPr>
        <w:pStyle w:val="style29"/>
        <w:spacing w:after="0" w:before="0" w:line="100" w:lineRule="atLeast"/>
        <w:ind w:hanging="0" w:left="436" w:right="0"/>
        <w:contextualSpacing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>
          <w:rFonts w:ascii="Verdana" w:hAnsi="Verdana"/>
          <w:i/>
          <w:u w:val="single"/>
        </w:rPr>
        <w:t xml:space="preserve">Procedura bio-decontaminazione letto (struttura):  </w:t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Smontaggio totale del materasso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Smontaggio pannelli sponde laterali, sponda piedi e sponda testa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Smontaggio carter zona piedi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Smontaggio paracolpi angolari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 xml:space="preserve">Smontaggio eventuali accessori (aste, cinghie ecc…) 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Lavaggio manuale con  disinfettante di tutta la struttura (superficie paziente, sponde, base, leveraggi, ruote, accessori, ecc…)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Eventuale lavaggio manuale con disinfettante all’ossigeno attivo in caso di contaminazione da particolari batteri (verrà comunicato dal personale della U.O.)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Risciacquo ed asciugatura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Montaggio di tutti componenti precedentemente smontati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Verifica funzionale di tutto il sistema con relativo report dettagliato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Imballaggio con pellicola trasparente estensibile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Etichetta da dove si evinca il disinfettante utilizzato, la percentuale utilizzata, la data di bio-decontaminazione, l’operatore preposto.</w:t>
      </w:r>
    </w:p>
    <w:p>
      <w:pPr>
        <w:pStyle w:val="style29"/>
        <w:numPr>
          <w:ilvl w:val="0"/>
          <w:numId w:val="2"/>
        </w:numPr>
        <w:spacing w:after="0" w:before="0" w:line="100" w:lineRule="atLeast"/>
        <w:contextualSpacing/>
      </w:pPr>
      <w:r>
        <w:rPr>
          <w:rFonts w:ascii="Verdana" w:hAnsi="Verdana"/>
        </w:rPr>
        <w:t>Report pulizia con i seguenti dati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Nome disinfettante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Diluizione in %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N° seriale del letto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Marca e modello letto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U.O. di provenienza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Intestazione Ditta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N° report e data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>
          <w:rFonts w:ascii="Verdana" w:hAnsi="Verdana"/>
          <w:i/>
          <w:u w:val="single"/>
        </w:rPr>
        <w:t xml:space="preserve">Procedura bio-decontaminazione Materasso ad aria:  </w:t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Smontaggio cover superiore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Verifica integrità cover (presenza di fori e/o tagli)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Smontaggio cuscini interni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Verifica integrità cuscini (presenza fori e/o tagli, controllo connettori e tubi aria)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Smontaggio sensore di posizionamento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Smontaggio base materasso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Pre-lavaggio manuale cover con apposito disinfettante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 xml:space="preserve">Pre-lavaggio manuale cuscini interni con apposito disinfettante 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Inserimento cover in macchina di lavaggio con adeguato disinfettante per disinfezione chimico-termica meccanizzata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Inserimento cuscini interni in macchina di lavaggio con adeguato disinfettante per disinfezione chimico termica meccanizzata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Asciugatura cover in essiccatoio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 xml:space="preserve">Asciugatura cuscini interni in essiccatoio 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Rimontaggio di tutti i componenti del materasso (base, sensore, cuscini interni, cover superiore)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Assemblaggio alla struttura letto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Regolazione delle pressioni interne dei cuscini ad aria secondo Casa Produttrice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Verifiche di funzionamento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In presenza di una cover aggiuntiva, oltre quella montata, tale cover va imbustata ed etichettata a parte.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Imbustamento del materasso</w:t>
      </w:r>
    </w:p>
    <w:p>
      <w:pPr>
        <w:pStyle w:val="style29"/>
        <w:numPr>
          <w:ilvl w:val="0"/>
          <w:numId w:val="5"/>
        </w:numPr>
        <w:spacing w:after="0" w:before="0" w:line="100" w:lineRule="atLeast"/>
        <w:contextualSpacing/>
      </w:pPr>
      <w:r>
        <w:rPr>
          <w:rFonts w:ascii="Verdana" w:hAnsi="Verdana"/>
        </w:rPr>
        <w:t>Etichettatura da dove si evinca il disinfettante utilizzato, la percentuale utilizzata, la data di bio-decontaminazione, l’operatore preposto</w:t>
      </w:r>
    </w:p>
    <w:p>
      <w:pPr>
        <w:pStyle w:val="style0"/>
        <w:spacing w:after="0" w:before="0" w:line="100" w:lineRule="atLeast"/>
        <w:ind w:hanging="0" w:left="76" w:right="0"/>
        <w:contextualSpacing w:val="false"/>
      </w:pPr>
      <w:r>
        <w:rPr>
          <w:rFonts w:ascii="Verdana" w:hAnsi="Verdana"/>
        </w:rPr>
        <w:t>20.Report pulizia con i seguenti dati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Nome disinfettante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Diluizione in %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N° seriale del letto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Marca e modello letto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U.O. di provenienza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Intestazione Ditta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contextualSpacing/>
      </w:pPr>
      <w:r>
        <w:rPr>
          <w:rFonts w:ascii="Verdana" w:hAnsi="Verdana"/>
        </w:rPr>
        <w:t>N° report e data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>
          <w:rFonts w:ascii="Verdana" w:hAnsi="Verdana"/>
          <w:i/>
          <w:u w:val="single"/>
        </w:rPr>
        <w:t>Consegna dei letti</w:t>
      </w:r>
    </w:p>
    <w:p>
      <w:pPr>
        <w:pStyle w:val="style0"/>
        <w:spacing w:after="0" w:before="0" w:line="100" w:lineRule="atLeast"/>
        <w:ind w:hanging="0" w:left="76" w:right="0"/>
        <w:contextualSpacing w:val="false"/>
      </w:pPr>
      <w:r>
        <w:rPr/>
      </w:r>
    </w:p>
    <w:p>
      <w:pPr>
        <w:pStyle w:val="style29"/>
        <w:numPr>
          <w:ilvl w:val="0"/>
          <w:numId w:val="6"/>
        </w:numPr>
        <w:spacing w:after="0" w:before="0" w:line="100" w:lineRule="atLeast"/>
        <w:contextualSpacing/>
      </w:pPr>
      <w:r>
        <w:rPr>
          <w:rFonts w:ascii="Verdana" w:hAnsi="Verdana"/>
        </w:rPr>
        <w:t>Consegna dei Sistemi letto bio-decontaminati</w:t>
      </w:r>
    </w:p>
    <w:p>
      <w:pPr>
        <w:pStyle w:val="style29"/>
        <w:numPr>
          <w:ilvl w:val="0"/>
          <w:numId w:val="6"/>
        </w:numPr>
        <w:spacing w:after="0" w:before="0" w:line="100" w:lineRule="atLeast"/>
        <w:contextualSpacing/>
      </w:pPr>
      <w:r>
        <w:rPr>
          <w:rFonts w:ascii="Verdana" w:hAnsi="Verdana"/>
        </w:rPr>
        <w:t>Pulizia finale delle ruote prima di posizionare i letti</w:t>
      </w:r>
    </w:p>
    <w:p>
      <w:pPr>
        <w:pStyle w:val="style29"/>
        <w:numPr>
          <w:ilvl w:val="0"/>
          <w:numId w:val="6"/>
        </w:numPr>
        <w:spacing w:after="0" w:before="0" w:line="100" w:lineRule="atLeast"/>
        <w:contextualSpacing/>
      </w:pPr>
      <w:r>
        <w:rPr>
          <w:rFonts w:ascii="Verdana" w:hAnsi="Verdana"/>
        </w:rPr>
        <w:t>Installazione e prove di funzionamento</w:t>
      </w:r>
    </w:p>
    <w:p>
      <w:pPr>
        <w:pStyle w:val="style29"/>
        <w:numPr>
          <w:ilvl w:val="0"/>
          <w:numId w:val="6"/>
        </w:numPr>
        <w:spacing w:after="0" w:before="0" w:line="100" w:lineRule="atLeast"/>
        <w:contextualSpacing/>
      </w:pPr>
      <w:r>
        <w:rPr>
          <w:rFonts w:ascii="Verdana" w:hAnsi="Verdana"/>
        </w:rPr>
        <w:t>Ritiro letti sostitutivi</w:t>
      </w:r>
    </w:p>
    <w:p>
      <w:pPr>
        <w:pStyle w:val="style29"/>
        <w:numPr>
          <w:ilvl w:val="0"/>
          <w:numId w:val="6"/>
        </w:numPr>
        <w:spacing w:after="0" w:before="0" w:line="100" w:lineRule="atLeast"/>
        <w:contextualSpacing/>
      </w:pPr>
      <w:r>
        <w:rPr>
          <w:rFonts w:ascii="Verdana" w:hAnsi="Verdana"/>
        </w:rPr>
        <w:t>DDT di consegna</w:t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>
          <w:rFonts w:ascii="Verdana" w:hAnsi="Verdana"/>
          <w:i/>
          <w:u w:val="single"/>
        </w:rPr>
        <w:t>Disinfettanti</w:t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>
          <w:rFonts w:ascii="Verdana" w:hAnsi="Verdana"/>
        </w:rPr>
        <w:t>Disinfettante con la seguente efficienza microbiologica:</w:t>
      </w:r>
    </w:p>
    <w:p>
      <w:pPr>
        <w:pStyle w:val="style29"/>
        <w:numPr>
          <w:ilvl w:val="0"/>
          <w:numId w:val="7"/>
        </w:numPr>
        <w:spacing w:after="0" w:before="0" w:line="100" w:lineRule="atLeast"/>
        <w:contextualSpacing/>
      </w:pPr>
      <w:r>
        <w:rPr>
          <w:rFonts w:ascii="Verdana" w:hAnsi="Verdana"/>
        </w:rPr>
        <w:t>Batteri  (inclusi TB e MRSA)</w:t>
      </w:r>
    </w:p>
    <w:p>
      <w:pPr>
        <w:pStyle w:val="style29"/>
        <w:numPr>
          <w:ilvl w:val="0"/>
          <w:numId w:val="7"/>
        </w:numPr>
        <w:spacing w:after="0" w:before="0" w:line="100" w:lineRule="atLeast"/>
        <w:contextualSpacing/>
      </w:pPr>
      <w:r>
        <w:rPr>
          <w:rFonts w:ascii="Verdana" w:hAnsi="Verdana"/>
        </w:rPr>
        <w:t>Funghi</w:t>
      </w:r>
    </w:p>
    <w:p>
      <w:pPr>
        <w:pStyle w:val="style29"/>
        <w:numPr>
          <w:ilvl w:val="0"/>
          <w:numId w:val="7"/>
        </w:numPr>
        <w:spacing w:after="0" w:before="0" w:line="100" w:lineRule="atLeast"/>
        <w:contextualSpacing/>
      </w:pPr>
      <w:r>
        <w:rPr>
          <w:rFonts w:ascii="Verdana" w:hAnsi="Verdana"/>
        </w:rPr>
        <w:t>Virus lipophile (es. virus epatite B, HIV, rotavirus, adenovirus)</w:t>
      </w:r>
    </w:p>
    <w:p>
      <w:pPr>
        <w:pStyle w:val="style29"/>
        <w:numPr>
          <w:ilvl w:val="0"/>
          <w:numId w:val="7"/>
        </w:numPr>
        <w:spacing w:after="0" w:before="0" w:line="100" w:lineRule="atLeast"/>
        <w:contextualSpacing/>
      </w:pPr>
      <w:r>
        <w:rPr>
          <w:rFonts w:ascii="Verdana" w:hAnsi="Verdana"/>
        </w:rPr>
        <w:t>Conforme al regolamento n°648/2004</w:t>
      </w:r>
    </w:p>
    <w:p>
      <w:pPr>
        <w:pStyle w:val="style29"/>
        <w:numPr>
          <w:ilvl w:val="0"/>
          <w:numId w:val="7"/>
        </w:numPr>
        <w:spacing w:after="0" w:before="0" w:line="100" w:lineRule="atLeast"/>
        <w:contextualSpacing/>
      </w:pPr>
      <w:r>
        <w:rPr>
          <w:rFonts w:ascii="Verdana" w:hAnsi="Verdana"/>
        </w:rPr>
        <w:t>Assenza di aldeide</w:t>
      </w:r>
    </w:p>
    <w:p>
      <w:pPr>
        <w:pStyle w:val="style29"/>
        <w:numPr>
          <w:ilvl w:val="0"/>
          <w:numId w:val="7"/>
        </w:numPr>
        <w:spacing w:after="0" w:before="0" w:line="100" w:lineRule="atLeast"/>
        <w:contextualSpacing/>
      </w:pPr>
      <w:r>
        <w:rPr>
          <w:rFonts w:ascii="Verdana" w:hAnsi="Verdana"/>
        </w:rPr>
        <w:t>Allegare scheda sicurezza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>
          <w:rFonts w:ascii="Verdana" w:hAnsi="Verdana"/>
        </w:rPr>
        <w:t>Disinfettante all’ossigeno attivo con la seguente efficienza microbiologica:</w:t>
      </w:r>
    </w:p>
    <w:p>
      <w:pPr>
        <w:pStyle w:val="style29"/>
        <w:numPr>
          <w:ilvl w:val="0"/>
          <w:numId w:val="8"/>
        </w:numPr>
        <w:spacing w:after="0" w:before="0" w:line="100" w:lineRule="atLeast"/>
        <w:contextualSpacing/>
      </w:pPr>
      <w:r>
        <w:rPr>
          <w:rFonts w:ascii="Verdana" w:hAnsi="Verdana"/>
        </w:rPr>
        <w:t>Clostridium difficile spore</w:t>
      </w:r>
    </w:p>
    <w:p>
      <w:pPr>
        <w:pStyle w:val="style29"/>
        <w:numPr>
          <w:ilvl w:val="0"/>
          <w:numId w:val="8"/>
        </w:numPr>
        <w:spacing w:after="0" w:before="0" w:line="100" w:lineRule="atLeast"/>
        <w:contextualSpacing/>
      </w:pPr>
      <w:r>
        <w:rPr>
          <w:rFonts w:ascii="Verdana" w:hAnsi="Verdana"/>
        </w:rPr>
        <w:t>Battericida</w:t>
      </w:r>
    </w:p>
    <w:p>
      <w:pPr>
        <w:pStyle w:val="style29"/>
        <w:numPr>
          <w:ilvl w:val="0"/>
          <w:numId w:val="8"/>
        </w:numPr>
        <w:spacing w:after="0" w:before="0" w:line="100" w:lineRule="atLeast"/>
        <w:contextualSpacing/>
      </w:pPr>
      <w:r>
        <w:rPr>
          <w:rFonts w:ascii="Verdana" w:hAnsi="Verdana"/>
        </w:rPr>
        <w:t>Tubercolicida</w:t>
      </w:r>
    </w:p>
    <w:p>
      <w:pPr>
        <w:pStyle w:val="style29"/>
        <w:numPr>
          <w:ilvl w:val="0"/>
          <w:numId w:val="8"/>
        </w:numPr>
        <w:spacing w:after="0" w:before="0" w:line="100" w:lineRule="atLeast"/>
        <w:contextualSpacing/>
      </w:pPr>
      <w:r>
        <w:rPr>
          <w:rFonts w:ascii="Verdana" w:hAnsi="Verdana"/>
        </w:rPr>
        <w:t>Sporicida</w:t>
      </w:r>
    </w:p>
    <w:p>
      <w:pPr>
        <w:pStyle w:val="style29"/>
        <w:numPr>
          <w:ilvl w:val="0"/>
          <w:numId w:val="8"/>
        </w:numPr>
        <w:spacing w:after="0" w:before="0" w:line="100" w:lineRule="atLeast"/>
        <w:contextualSpacing/>
      </w:pPr>
      <w:r>
        <w:rPr>
          <w:rFonts w:ascii="Verdana" w:hAnsi="Verdana"/>
        </w:rPr>
        <w:t>Virucida (HBV, HCV, HIV)</w:t>
      </w:r>
    </w:p>
    <w:p>
      <w:pPr>
        <w:pStyle w:val="style29"/>
        <w:numPr>
          <w:ilvl w:val="0"/>
          <w:numId w:val="8"/>
        </w:numPr>
        <w:spacing w:after="0" w:before="0" w:line="100" w:lineRule="atLeast"/>
        <w:contextualSpacing/>
      </w:pPr>
      <w:r>
        <w:rPr>
          <w:rFonts w:ascii="Verdana" w:hAnsi="Verdana"/>
        </w:rPr>
        <w:t>Conforme al regolamento n°648/2004</w:t>
      </w:r>
    </w:p>
    <w:p>
      <w:pPr>
        <w:pStyle w:val="style29"/>
        <w:numPr>
          <w:ilvl w:val="0"/>
          <w:numId w:val="8"/>
        </w:numPr>
        <w:spacing w:after="0" w:before="0" w:line="100" w:lineRule="atLeast"/>
        <w:contextualSpacing/>
      </w:pPr>
      <w:r>
        <w:rPr>
          <w:rFonts w:ascii="Verdana" w:hAnsi="Verdana"/>
        </w:rPr>
        <w:t>Allegare scheda sicurezza</w:t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-284" w:right="0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436"/>
      </w:pPr>
    </w:lvl>
    <w:lvl w:ilvl="1">
      <w:start w:val="1"/>
      <w:numFmt w:val="lowerLetter"/>
      <w:lvlText w:val="%2."/>
      <w:lvlJc w:val="left"/>
      <w:pPr>
        <w:ind w:hanging="360" w:left="1156"/>
      </w:pPr>
    </w:lvl>
    <w:lvl w:ilvl="2">
      <w:start w:val="1"/>
      <w:numFmt w:val="lowerRoman"/>
      <w:lvlText w:val="%3."/>
      <w:lvlJc w:val="right"/>
      <w:pPr>
        <w:ind w:hanging="180" w:left="1876"/>
      </w:pPr>
    </w:lvl>
    <w:lvl w:ilvl="3">
      <w:start w:val="1"/>
      <w:numFmt w:val="decimal"/>
      <w:lvlText w:val="%4."/>
      <w:lvlJc w:val="left"/>
      <w:pPr>
        <w:ind w:hanging="360" w:left="2596"/>
      </w:pPr>
    </w:lvl>
    <w:lvl w:ilvl="4">
      <w:start w:val="1"/>
      <w:numFmt w:val="lowerLetter"/>
      <w:lvlText w:val="%5."/>
      <w:lvlJc w:val="left"/>
      <w:pPr>
        <w:ind w:hanging="360" w:left="3316"/>
      </w:pPr>
    </w:lvl>
    <w:lvl w:ilvl="5">
      <w:start w:val="1"/>
      <w:numFmt w:val="lowerRoman"/>
      <w:lvlText w:val="%6."/>
      <w:lvlJc w:val="right"/>
      <w:pPr>
        <w:ind w:hanging="180" w:left="4036"/>
      </w:pPr>
    </w:lvl>
    <w:lvl w:ilvl="6">
      <w:start w:val="1"/>
      <w:numFmt w:val="decimal"/>
      <w:lvlText w:val="%7."/>
      <w:lvlJc w:val="left"/>
      <w:pPr>
        <w:ind w:hanging="360" w:left="4756"/>
      </w:pPr>
    </w:lvl>
    <w:lvl w:ilvl="7">
      <w:start w:val="1"/>
      <w:numFmt w:val="lowerLetter"/>
      <w:lvlText w:val="%8."/>
      <w:lvlJc w:val="left"/>
      <w:pPr>
        <w:ind w:hanging="360" w:left="5476"/>
      </w:pPr>
    </w:lvl>
    <w:lvl w:ilvl="8">
      <w:start w:val="1"/>
      <w:numFmt w:val="lowerRoman"/>
      <w:lvlText w:val="%9."/>
      <w:lvlJc w:val="right"/>
      <w:pPr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436"/>
      </w:pPr>
    </w:lvl>
    <w:lvl w:ilvl="1">
      <w:start w:val="1"/>
      <w:numFmt w:val="lowerLetter"/>
      <w:lvlText w:val="%2."/>
      <w:lvlJc w:val="left"/>
      <w:pPr>
        <w:ind w:hanging="360" w:left="1156"/>
      </w:pPr>
    </w:lvl>
    <w:lvl w:ilvl="2">
      <w:start w:val="1"/>
      <w:numFmt w:val="lowerRoman"/>
      <w:lvlText w:val="%3."/>
      <w:lvlJc w:val="right"/>
      <w:pPr>
        <w:ind w:hanging="180" w:left="1876"/>
      </w:pPr>
    </w:lvl>
    <w:lvl w:ilvl="3">
      <w:start w:val="1"/>
      <w:numFmt w:val="decimal"/>
      <w:lvlText w:val="%4."/>
      <w:lvlJc w:val="left"/>
      <w:pPr>
        <w:ind w:hanging="360" w:left="2596"/>
      </w:pPr>
    </w:lvl>
    <w:lvl w:ilvl="4">
      <w:start w:val="1"/>
      <w:numFmt w:val="lowerLetter"/>
      <w:lvlText w:val="%5."/>
      <w:lvlJc w:val="left"/>
      <w:pPr>
        <w:ind w:hanging="360" w:left="3316"/>
      </w:pPr>
    </w:lvl>
    <w:lvl w:ilvl="5">
      <w:start w:val="1"/>
      <w:numFmt w:val="lowerRoman"/>
      <w:lvlText w:val="%6."/>
      <w:lvlJc w:val="right"/>
      <w:pPr>
        <w:ind w:hanging="180" w:left="4036"/>
      </w:pPr>
    </w:lvl>
    <w:lvl w:ilvl="6">
      <w:start w:val="1"/>
      <w:numFmt w:val="decimal"/>
      <w:lvlText w:val="%7."/>
      <w:lvlJc w:val="left"/>
      <w:pPr>
        <w:ind w:hanging="360" w:left="4756"/>
      </w:pPr>
    </w:lvl>
    <w:lvl w:ilvl="7">
      <w:start w:val="1"/>
      <w:numFmt w:val="lowerLetter"/>
      <w:lvlText w:val="%8."/>
      <w:lvlJc w:val="left"/>
      <w:pPr>
        <w:ind w:hanging="360" w:left="5476"/>
      </w:pPr>
    </w:lvl>
    <w:lvl w:ilvl="8">
      <w:start w:val="1"/>
      <w:numFmt w:val="lowerRoman"/>
      <w:lvlText w:val="%9."/>
      <w:lvlJc w:val="right"/>
      <w:pPr>
        <w:ind w:hanging="180" w:left="6196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1156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87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9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31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03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75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7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9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916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156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87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9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31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03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75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7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9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916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436"/>
      </w:pPr>
    </w:lvl>
    <w:lvl w:ilvl="1">
      <w:start w:val="1"/>
      <w:numFmt w:val="lowerLetter"/>
      <w:lvlText w:val="%2."/>
      <w:lvlJc w:val="left"/>
      <w:pPr>
        <w:ind w:hanging="360" w:left="1156"/>
      </w:pPr>
    </w:lvl>
    <w:lvl w:ilvl="2">
      <w:start w:val="1"/>
      <w:numFmt w:val="lowerRoman"/>
      <w:lvlText w:val="%3."/>
      <w:lvlJc w:val="right"/>
      <w:pPr>
        <w:ind w:hanging="180" w:left="1876"/>
      </w:pPr>
    </w:lvl>
    <w:lvl w:ilvl="3">
      <w:start w:val="1"/>
      <w:numFmt w:val="decimal"/>
      <w:lvlText w:val="%4."/>
      <w:lvlJc w:val="left"/>
      <w:pPr>
        <w:ind w:hanging="360" w:left="2596"/>
      </w:pPr>
    </w:lvl>
    <w:lvl w:ilvl="4">
      <w:start w:val="1"/>
      <w:numFmt w:val="lowerLetter"/>
      <w:lvlText w:val="%5."/>
      <w:lvlJc w:val="left"/>
      <w:pPr>
        <w:ind w:hanging="360" w:left="3316"/>
      </w:pPr>
    </w:lvl>
    <w:lvl w:ilvl="5">
      <w:start w:val="1"/>
      <w:numFmt w:val="lowerRoman"/>
      <w:lvlText w:val="%6."/>
      <w:lvlJc w:val="right"/>
      <w:pPr>
        <w:ind w:hanging="180" w:left="4036"/>
      </w:pPr>
    </w:lvl>
    <w:lvl w:ilvl="6">
      <w:start w:val="1"/>
      <w:numFmt w:val="decimal"/>
      <w:lvlText w:val="%7."/>
      <w:lvlJc w:val="left"/>
      <w:pPr>
        <w:ind w:hanging="360" w:left="4756"/>
      </w:pPr>
    </w:lvl>
    <w:lvl w:ilvl="7">
      <w:start w:val="1"/>
      <w:numFmt w:val="lowerLetter"/>
      <w:lvlText w:val="%8."/>
      <w:lvlJc w:val="left"/>
      <w:pPr>
        <w:ind w:hanging="360" w:left="5476"/>
      </w:pPr>
    </w:lvl>
    <w:lvl w:ilvl="8">
      <w:start w:val="1"/>
      <w:numFmt w:val="lowerRoman"/>
      <w:lvlText w:val="%9."/>
      <w:lvlJc w:val="right"/>
      <w:pPr>
        <w:ind w:hanging="180" w:left="6196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96"/>
      </w:pPr>
    </w:lvl>
    <w:lvl w:ilvl="1">
      <w:start w:val="1"/>
      <w:numFmt w:val="lowerLetter"/>
      <w:lvlText w:val="%2."/>
      <w:lvlJc w:val="left"/>
      <w:pPr>
        <w:ind w:hanging="360" w:left="1516"/>
      </w:pPr>
    </w:lvl>
    <w:lvl w:ilvl="2">
      <w:start w:val="1"/>
      <w:numFmt w:val="lowerRoman"/>
      <w:lvlText w:val="%3."/>
      <w:lvlJc w:val="right"/>
      <w:pPr>
        <w:ind w:hanging="180" w:left="2236"/>
      </w:pPr>
    </w:lvl>
    <w:lvl w:ilvl="3">
      <w:start w:val="1"/>
      <w:numFmt w:val="decimal"/>
      <w:lvlText w:val="%4."/>
      <w:lvlJc w:val="left"/>
      <w:pPr>
        <w:ind w:hanging="360" w:left="2956"/>
      </w:pPr>
    </w:lvl>
    <w:lvl w:ilvl="4">
      <w:start w:val="1"/>
      <w:numFmt w:val="lowerLetter"/>
      <w:lvlText w:val="%5."/>
      <w:lvlJc w:val="left"/>
      <w:pPr>
        <w:ind w:hanging="360" w:left="3676"/>
      </w:pPr>
    </w:lvl>
    <w:lvl w:ilvl="5">
      <w:start w:val="1"/>
      <w:numFmt w:val="lowerRoman"/>
      <w:lvlText w:val="%6."/>
      <w:lvlJc w:val="right"/>
      <w:pPr>
        <w:ind w:hanging="180" w:left="4396"/>
      </w:pPr>
    </w:lvl>
    <w:lvl w:ilvl="6">
      <w:start w:val="1"/>
      <w:numFmt w:val="decimal"/>
      <w:lvlText w:val="%7."/>
      <w:lvlJc w:val="left"/>
      <w:pPr>
        <w:ind w:hanging="360" w:left="5116"/>
      </w:pPr>
    </w:lvl>
    <w:lvl w:ilvl="7">
      <w:start w:val="1"/>
      <w:numFmt w:val="lowerLetter"/>
      <w:lvlText w:val="%8."/>
      <w:lvlJc w:val="left"/>
      <w:pPr>
        <w:ind w:hanging="360" w:left="5836"/>
      </w:pPr>
    </w:lvl>
    <w:lvl w:ilvl="8">
      <w:start w:val="1"/>
      <w:numFmt w:val="lowerRoman"/>
      <w:lvlText w:val="%9."/>
      <w:lvlJc w:val="right"/>
      <w:pPr>
        <w:ind w:hanging="180" w:left="6556"/>
      </w:pPr>
    </w:lvl>
  </w:abstractNum>
  <w:abstractNum w:abstractNumId="7">
    <w:lvl w:ilvl="0">
      <w:start w:val="1"/>
      <w:numFmt w:val="bullet"/>
      <w:lvlText w:val=""/>
      <w:lvlJc w:val="left"/>
      <w:pPr>
        <w:ind w:hanging="360" w:left="436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15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7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9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31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03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75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7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96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436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15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7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9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31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03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75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7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96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it-IT"/>
    </w:rPr>
  </w:style>
  <w:style w:styleId="style5" w:type="paragraph">
    <w:name w:val="Intestazione 5"/>
    <w:basedOn w:val="style0"/>
    <w:next w:val="style5"/>
    <w:pPr>
      <w:keepNext/>
      <w:suppressAutoHyphens w:val="true"/>
      <w:spacing w:after="0" w:before="0" w:line="100" w:lineRule="atLeast"/>
      <w:ind w:hanging="0" w:left="-284" w:right="0"/>
      <w:contextualSpacing w:val="false"/>
    </w:pPr>
    <w:rPr>
      <w:rFonts w:ascii="Verdana" w:cs="Times New Roman" w:eastAsia="Times New Roman" w:hAnsi="Verdana"/>
      <w:i/>
      <w:iCs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Titolo 5 Carattere"/>
    <w:basedOn w:val="style15"/>
    <w:next w:val="style16"/>
    <w:rPr>
      <w:rFonts w:ascii="Verdana" w:cs="Times New Roman" w:eastAsia="Times New Roman" w:hAnsi="Verdana"/>
      <w:i/>
      <w:iCs/>
      <w:lang w:eastAsia="ar-SA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rFonts w:cs="Symbol"/>
    </w:rPr>
  </w:style>
  <w:style w:styleId="style19" w:type="character">
    <w:name w:val="ListLabel 3"/>
    <w:next w:val="style19"/>
    <w:rPr>
      <w:rFonts w:cs="Courier New"/>
    </w:rPr>
  </w:style>
  <w:style w:styleId="style20" w:type="character">
    <w:name w:val="ListLabel 4"/>
    <w:next w:val="style20"/>
    <w:rPr>
      <w:rFonts w:cs="Wingdings"/>
    </w:rPr>
  </w:style>
  <w:style w:styleId="style21" w:type="character">
    <w:name w:val="ListLabel 5"/>
    <w:next w:val="style21"/>
    <w:rPr>
      <w:rFonts w:cs="Symbol"/>
    </w:rPr>
  </w:style>
  <w:style w:styleId="style22" w:type="character">
    <w:name w:val="ListLabel 6"/>
    <w:next w:val="style22"/>
    <w:rPr>
      <w:rFonts w:cs="Courier New"/>
    </w:rPr>
  </w:style>
  <w:style w:styleId="style23" w:type="character">
    <w:name w:val="ListLabel 7"/>
    <w:next w:val="style23"/>
    <w:rPr>
      <w:rFonts w:cs="Wingdings"/>
    </w:rPr>
  </w:style>
  <w:style w:styleId="style24" w:type="paragraph">
    <w:name w:val="Intestazione"/>
    <w:basedOn w:val="style0"/>
    <w:next w:val="style25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5" w:type="paragraph">
    <w:name w:val="Corpo del testo"/>
    <w:basedOn w:val="style0"/>
    <w:next w:val="style25"/>
    <w:pPr>
      <w:spacing w:after="120" w:before="0"/>
      <w:contextualSpacing w:val="false"/>
    </w:pPr>
    <w:rPr/>
  </w:style>
  <w:style w:styleId="style26" w:type="paragraph">
    <w:name w:val="Elenco"/>
    <w:basedOn w:val="style25"/>
    <w:next w:val="style26"/>
    <w:pPr/>
    <w:rPr>
      <w:rFonts w:cs="Mangal"/>
    </w:rPr>
  </w:style>
  <w:style w:styleId="style27" w:type="paragraph">
    <w:name w:val="Didascalia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Indice"/>
    <w:basedOn w:val="style0"/>
    <w:next w:val="style28"/>
    <w:pPr>
      <w:suppressLineNumbers/>
    </w:pPr>
    <w:rPr>
      <w:rFonts w:cs="Mangal"/>
    </w:rPr>
  </w:style>
  <w:style w:styleId="style29" w:type="paragraph">
    <w:name w:val="List Paragraph"/>
    <w:basedOn w:val="style0"/>
    <w:next w:val="style29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2013-09-17T10:00:00.00Z</dcterms:created>
  <dc:creator>Alessandro</dc:creator>
  <cp:lastModifiedBy>Alessandro</cp:lastModifiedBy>
  <dcterms:modified xsi:type="dcterms:W3CDTF">2013-09-17T11:39:00.00Z</dcterms:modified>
  <cp:revision>4</cp:revision>
</cp:coreProperties>
</file>