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contextualSpacing/>
        <w:rPr>
          <w:rFonts w:ascii="Verdana" w:hAnsi="Verdana" w:cs="Times New Roman"/>
          <w:b/>
          <w:b/>
          <w:sz w:val="20"/>
          <w:szCs w:val="20"/>
        </w:rPr>
      </w:pPr>
      <w:r>
        <w:rPr>
          <w:rFonts w:cs="Times New Roman" w:ascii="Verdana" w:hAnsi="Verdana"/>
          <w:b/>
          <w:sz w:val="20"/>
          <w:szCs w:val="20"/>
        </w:rPr>
        <w:t>Base d’asta € 152.200,00 oltre IVA</w:t>
      </w:r>
    </w:p>
    <w:p>
      <w:pPr>
        <w:pStyle w:val="ListParagraph"/>
        <w:spacing w:before="0" w:after="0"/>
        <w:ind w:left="0" w:hanging="0"/>
        <w:contextualSpacing/>
        <w:rPr>
          <w:rFonts w:ascii="Verdana" w:hAnsi="Verdana" w:eastAsia="Times New Roman" w:cs="Times New Roman"/>
          <w:b/>
          <w:b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it-IT"/>
        </w:rPr>
        <w:t xml:space="preserve">PIATTAFORMA PER VIDEOENDOSCOPIA PEDIATRICA  DIGITALE </w:t>
      </w:r>
      <w:bookmarkStart w:id="0" w:name="_Toc43724375"/>
      <w:bookmarkStart w:id="1" w:name="_Toc527819250"/>
      <w:r>
        <w:rPr>
          <w:rFonts w:eastAsia="Times New Roman" w:cs="Times New Roman" w:ascii="Verdana" w:hAnsi="Verdana"/>
          <w:b/>
          <w:sz w:val="20"/>
          <w:szCs w:val="20"/>
          <w:lang w:eastAsia="it-IT"/>
        </w:rPr>
        <w:t xml:space="preserve"> </w:t>
      </w:r>
    </w:p>
    <w:p>
      <w:pPr>
        <w:pStyle w:val="ListParagraph"/>
        <w:spacing w:before="0" w:after="0"/>
        <w:ind w:left="0" w:hanging="0"/>
        <w:contextualSpacing/>
        <w:rPr>
          <w:rFonts w:ascii="Verdana" w:hAnsi="Verdana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sz w:val="20"/>
          <w:szCs w:val="20"/>
          <w:lang w:eastAsia="it-IT"/>
        </w:rPr>
        <w:t>per pazienti da 0 a 14 anni- N.B esami da eseguire anche in epoca neonatale e in bambini  al di sotto dell’anno di vita</w:t>
      </w:r>
    </w:p>
    <w:p>
      <w:pPr>
        <w:pStyle w:val="ListParagraph"/>
        <w:spacing w:before="0" w:after="0"/>
        <w:ind w:left="0" w:hanging="0"/>
        <w:contextualSpacing/>
        <w:rPr>
          <w:rFonts w:ascii="Verdana" w:hAnsi="Verdana" w:eastAsia="Times New Roman" w:cs="Times New Roman"/>
          <w:b/>
          <w:b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it-IT"/>
        </w:rPr>
      </w:r>
    </w:p>
    <w:p>
      <w:pPr>
        <w:pStyle w:val="ListParagraph"/>
        <w:spacing w:before="0" w:after="0"/>
        <w:ind w:left="0" w:hanging="0"/>
        <w:contextualSpacing/>
        <w:rPr>
          <w:rFonts w:ascii="Verdana" w:hAnsi="Verdana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sz w:val="20"/>
          <w:szCs w:val="20"/>
          <w:lang w:eastAsia="it-IT"/>
        </w:rPr>
        <w:t>Composto da: (tra parentesi il fabbisogno sanitario)</w:t>
      </w:r>
      <w:bookmarkEnd w:id="0"/>
      <w:bookmarkEnd w:id="1"/>
    </w:p>
    <w:p>
      <w:pPr>
        <w:pStyle w:val="Normal"/>
        <w:spacing w:before="0" w:after="0"/>
        <w:contextualSpacing/>
        <w:rPr>
          <w:rFonts w:ascii="Verdana" w:hAnsi="Verdana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sz w:val="20"/>
          <w:szCs w:val="20"/>
          <w:lang w:eastAsia="it-IT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425" w:hanging="357"/>
        <w:contextualSpacing w:val="false"/>
        <w:rPr>
          <w:rFonts w:ascii="Verdana" w:hAnsi="Verdana" w:eastAsia="Times New Roman" w:cs="Times New Roman"/>
          <w:b/>
          <w:b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it-IT"/>
        </w:rPr>
        <w:t>n.1 Videoprocessore/fonte di luce</w:t>
      </w:r>
    </w:p>
    <w:p>
      <w:pPr>
        <w:pStyle w:val="Normal"/>
        <w:spacing w:lineRule="auto" w:line="240" w:before="0" w:after="120"/>
        <w:ind w:left="142" w:hanging="0"/>
        <w:rPr>
          <w:rFonts w:ascii="Verdana" w:hAnsi="Verdana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sz w:val="20"/>
          <w:szCs w:val="20"/>
          <w:lang w:eastAsia="it-IT"/>
        </w:rPr>
        <w:t>Funzioni minime richieste: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Risoluzione superiore a Full HD con schermo non inferiore a 31 pollici</w:t>
      </w:r>
    </w:p>
    <w:p>
      <w:pPr>
        <w:pStyle w:val="Normal"/>
        <w:spacing w:lineRule="auto" w:line="240" w:before="0" w:after="120"/>
        <w:ind w:left="567" w:hanging="0"/>
        <w:rPr>
          <w:rFonts w:ascii="Verdana" w:hAnsi="Verdana" w:eastAsia="Times New Roman" w:cs="Times New Roman"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(per garantire alta definizione).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 xml:space="preserve">Zoom elettronico </w:t>
      </w:r>
    </w:p>
    <w:p>
      <w:pPr>
        <w:pStyle w:val="Normal"/>
        <w:spacing w:lineRule="auto" w:line="240" w:before="0" w:after="120"/>
        <w:ind w:left="567" w:hanging="0"/>
        <w:rPr>
          <w:rFonts w:ascii="Verdana" w:hAnsi="Verdana" w:eastAsia="Times New Roman" w:cs="Times New Roman"/>
          <w:bCs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(migliore visione delle immagini).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 xml:space="preserve">In grado di memorizzare immagini statiche sia su supporto rimovibile sia su HD interno </w:t>
      </w: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(maneggevolezza nella gestione delle immagini).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 xml:space="preserve">Funzioni per rilevamento caratterizzazione e trattamenti </w:t>
      </w:r>
    </w:p>
    <w:p>
      <w:pPr>
        <w:pStyle w:val="Normal"/>
        <w:spacing w:lineRule="auto" w:line="240" w:before="0" w:after="120"/>
        <w:ind w:left="567" w:hanging="0"/>
        <w:rPr>
          <w:rFonts w:ascii="Verdana" w:hAnsi="Verdana" w:eastAsia="Times New Roman" w:cs="Times New Roman"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(migliore definizione diagnostica delle immagini)</w:t>
      </w: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 xml:space="preserve">.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425"/>
        <w:jc w:val="both"/>
        <w:rPr>
          <w:rFonts w:ascii="Verdana" w:hAnsi="Verdana" w:eastAsia="Times New Roman" w:cs="Times New Roman"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Software di sistema per configurazione e gestione immagini registrate utilizzabile mantenendo costante la visualizzazione dell’immagine endoscopica.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(migliore praticità di utilizzo</w:t>
      </w: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).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jc w:val="both"/>
        <w:rPr>
          <w:rFonts w:ascii="Verdana" w:hAnsi="Verdana" w:eastAsia="Times New Roman" w:cs="Times New Roman"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Possibilità di gestire l’interconnessione con le apparecchiature a completamento della colonna endoscopica quali: stampanti, insufflatori CO2, Irrigatori, registratori esterni (</w:t>
      </w: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migliore efficienza ed ergonomia.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sz w:val="20"/>
          <w:szCs w:val="20"/>
          <w:lang w:eastAsia="it-IT"/>
        </w:rPr>
        <w:t>Modulo fonte luce integrato - Preferibilmente a LED (</w:t>
      </w:r>
      <w:r>
        <w:rPr>
          <w:rFonts w:eastAsia="Times New Roman" w:cs="Times New Roman" w:ascii="Verdana" w:hAnsi="Verdana"/>
          <w:i/>
          <w:sz w:val="20"/>
          <w:szCs w:val="20"/>
          <w:lang w:eastAsia="it-IT"/>
        </w:rPr>
        <w:t>migliore efficienza).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sz w:val="20"/>
          <w:szCs w:val="20"/>
          <w:lang w:eastAsia="it-IT"/>
        </w:rPr>
        <w:t>Schermo dotato di pannello completamente sanificabile.</w:t>
      </w:r>
    </w:p>
    <w:p>
      <w:pPr>
        <w:pStyle w:val="Normal"/>
        <w:keepNext w:val="true"/>
        <w:spacing w:lineRule="auto" w:line="240" w:before="0" w:after="120"/>
        <w:ind w:left="142" w:hanging="0"/>
        <w:rPr>
          <w:rFonts w:ascii="Verdana" w:hAnsi="Verdana" w:eastAsia="MS Mincho" w:cs="Times New Roman"/>
          <w:bCs/>
          <w:smallCaps/>
          <w:sz w:val="20"/>
          <w:szCs w:val="20"/>
          <w:lang w:eastAsia="it-IT"/>
        </w:rPr>
      </w:pPr>
      <w:r>
        <w:rPr>
          <w:rFonts w:eastAsia="MS Mincho" w:cs="Times New Roman" w:ascii="Verdana" w:hAnsi="Verdana"/>
          <w:bCs/>
          <w:smallCaps/>
          <w:sz w:val="20"/>
          <w:szCs w:val="20"/>
          <w:lang w:eastAsia="it-IT"/>
        </w:rPr>
        <w:t>Riconoscimento automatico dell' endoscopio collegato</w:t>
      </w:r>
    </w:p>
    <w:p>
      <w:pPr>
        <w:pStyle w:val="Normal"/>
        <w:numPr>
          <w:ilvl w:val="1"/>
          <w:numId w:val="1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sz w:val="20"/>
          <w:szCs w:val="20"/>
          <w:lang w:eastAsia="it-IT"/>
        </w:rPr>
        <w:t xml:space="preserve">Contrasto; </w:t>
      </w:r>
    </w:p>
    <w:p>
      <w:pPr>
        <w:pStyle w:val="Normal"/>
        <w:numPr>
          <w:ilvl w:val="1"/>
          <w:numId w:val="1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sz w:val="20"/>
          <w:szCs w:val="20"/>
          <w:lang w:eastAsia="it-IT"/>
        </w:rPr>
        <w:t>Possibilità di registrazione delle immagini provenienti dagli endoscopi  sia su memoria interna (HD interno) sia su memoria esterna (Supporto USB);</w:t>
      </w:r>
    </w:p>
    <w:p>
      <w:pPr>
        <w:pStyle w:val="Normal"/>
        <w:numPr>
          <w:ilvl w:val="1"/>
          <w:numId w:val="1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sz w:val="20"/>
          <w:szCs w:val="20"/>
          <w:lang w:eastAsia="it-IT"/>
        </w:rPr>
        <w:t>Funzione di pre-freeze;</w:t>
      </w:r>
    </w:p>
    <w:p>
      <w:pPr>
        <w:pStyle w:val="Normal"/>
        <w:numPr>
          <w:ilvl w:val="1"/>
          <w:numId w:val="1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sz w:val="20"/>
          <w:szCs w:val="20"/>
          <w:lang w:eastAsia="it-IT"/>
        </w:rPr>
        <w:t>Regolazione della tonalità dei colori;</w:t>
      </w:r>
    </w:p>
    <w:p>
      <w:pPr>
        <w:pStyle w:val="Normal"/>
        <w:numPr>
          <w:ilvl w:val="1"/>
          <w:numId w:val="1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sz w:val="20"/>
          <w:szCs w:val="20"/>
          <w:lang w:eastAsia="it-IT"/>
        </w:rPr>
        <w:t>Immissione e gestione dei dati paziente e relative immagini;</w:t>
      </w:r>
    </w:p>
    <w:p>
      <w:pPr>
        <w:pStyle w:val="Normal"/>
        <w:spacing w:lineRule="auto" w:line="240" w:before="0" w:after="120"/>
        <w:rPr>
          <w:rFonts w:ascii="Verdana" w:hAnsi="Verdana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sz w:val="20"/>
          <w:szCs w:val="20"/>
          <w:lang w:eastAsia="it-IT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425" w:hanging="357"/>
        <w:contextualSpacing w:val="false"/>
        <w:rPr>
          <w:rFonts w:ascii="Verdana" w:hAnsi="Verdana" w:eastAsia="Times New Roman" w:cs="Times New Roman"/>
          <w:b/>
          <w:b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it-IT"/>
        </w:rPr>
        <w:t>n.1 Carrello per videoendoscopia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Trasformatore di isolamento opportunamente dimensionato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Interruttore generale luminoso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Tre ripiani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Ruote antistatiche e dotate di freno (almeno 2)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Supporto per monitor LCD orientabile in 4 direzioni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Asta portaendoscopi per due strumenti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Supporto per tastiera a scorrimento frontale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Supporto porta bombola</w:t>
      </w:r>
    </w:p>
    <w:p>
      <w:pPr>
        <w:pStyle w:val="Normal"/>
        <w:spacing w:before="0" w:after="0"/>
        <w:contextualSpacing/>
        <w:rPr>
          <w:rFonts w:ascii="Verdana" w:hAnsi="Verdana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sz w:val="20"/>
          <w:szCs w:val="20"/>
          <w:lang w:eastAsia="it-IT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425" w:hanging="357"/>
        <w:contextualSpacing w:val="false"/>
        <w:rPr>
          <w:rFonts w:ascii="Verdana" w:hAnsi="Verdana" w:eastAsia="Times New Roman" w:cs="Times New Roman"/>
          <w:b/>
          <w:b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it-IT"/>
        </w:rPr>
        <w:t xml:space="preserve">n.1 Videogastroscopio HDTV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 xml:space="preserve">Visione HDTV (Standard nativo 1080 linee) </w:t>
      </w:r>
    </w:p>
    <w:p>
      <w:pPr>
        <w:pStyle w:val="Normal"/>
        <w:spacing w:lineRule="auto" w:line="240" w:before="0" w:after="120"/>
        <w:ind w:left="567" w:hanging="0"/>
        <w:rPr>
          <w:rFonts w:ascii="Verdana" w:hAnsi="Verdana" w:eastAsia="Times New Roman" w:cs="Times New Roman"/>
          <w:bCs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(migliore definizione)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 xml:space="preserve">Funzioni per rilevamento caratterizzazione e trattamenti </w:t>
      </w:r>
    </w:p>
    <w:p>
      <w:pPr>
        <w:pStyle w:val="Normal"/>
        <w:spacing w:lineRule="auto" w:line="240" w:before="0" w:after="120"/>
        <w:ind w:left="567" w:hanging="0"/>
        <w:rPr>
          <w:rFonts w:ascii="Verdana" w:hAnsi="Verdana" w:eastAsia="Times New Roman" w:cs="Times New Roman"/>
          <w:bCs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(migliore definizione con specificità di diagnosi)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 xml:space="preserve">Angolo di visione 140° </w:t>
      </w:r>
    </w:p>
    <w:p>
      <w:pPr>
        <w:pStyle w:val="Normal"/>
        <w:spacing w:lineRule="auto" w:line="240" w:before="0" w:after="120"/>
        <w:ind w:left="567" w:hanging="0"/>
        <w:rPr>
          <w:rFonts w:ascii="Verdana" w:hAnsi="Verdana" w:eastAsia="Times New Roman" w:cs="Times New Roman"/>
          <w:bCs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(migliore agilità durante le manovre intraoperatorie)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 xml:space="preserve">Diametro porzione distale il più sottile possibile, ≤ a 9 mm. </w:t>
      </w:r>
    </w:p>
    <w:p>
      <w:pPr>
        <w:pStyle w:val="Normal"/>
        <w:spacing w:lineRule="auto" w:line="240" w:before="0" w:after="120"/>
        <w:ind w:left="567" w:hanging="0"/>
        <w:rPr>
          <w:rFonts w:ascii="Verdana" w:hAnsi="Verdana" w:eastAsia="Times New Roman" w:cs="Times New Roman"/>
          <w:bCs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(adatto alla popolazione pediatrica anche al di sotto dei 12 mesi di vita )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 xml:space="preserve">Diametro sonda ≤ a 9 mm. </w:t>
      </w:r>
    </w:p>
    <w:p>
      <w:pPr>
        <w:pStyle w:val="Normal"/>
        <w:spacing w:lineRule="auto" w:line="240" w:before="0" w:after="120"/>
        <w:ind w:left="567" w:hanging="0"/>
        <w:rPr>
          <w:rFonts w:ascii="Verdana" w:hAnsi="Verdana" w:eastAsia="Times New Roman" w:cs="Times New Roman"/>
          <w:bCs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(adatto alla popolazione pediatrica da 0 a 14 anni)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 xml:space="preserve">Canale operativo di 2.8 mm </w:t>
      </w:r>
    </w:p>
    <w:p>
      <w:pPr>
        <w:pStyle w:val="Normal"/>
        <w:spacing w:lineRule="auto" w:line="240" w:before="0" w:after="120"/>
        <w:ind w:left="567" w:hanging="0"/>
        <w:rPr>
          <w:rFonts w:ascii="Verdana" w:hAnsi="Verdana" w:eastAsia="Times New Roman" w:cs="Times New Roman"/>
          <w:bCs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(per consentire l’utilizzo degli strumenti operativi)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bookmarkStart w:id="2" w:name="_Hlk61863734"/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 xml:space="preserve">Lunghezza operativa circa 1000 mm </w:t>
      </w:r>
    </w:p>
    <w:p>
      <w:pPr>
        <w:pStyle w:val="Normal"/>
        <w:spacing w:lineRule="auto" w:line="240" w:before="0" w:after="120"/>
        <w:ind w:left="567" w:hanging="0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(</w:t>
      </w: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per permettere l’esplorazione completa del tratto esofago stomaco duodeno digiunale).</w:t>
      </w:r>
      <w:bookmarkEnd w:id="2"/>
    </w:p>
    <w:p>
      <w:pPr>
        <w:pStyle w:val="Normal"/>
        <w:spacing w:before="0" w:after="0"/>
        <w:contextualSpacing/>
        <w:rPr>
          <w:rFonts w:ascii="Verdana" w:hAnsi="Verdana" w:eastAsia="Times New Roman" w:cs="Times New Roman"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sz w:val="20"/>
          <w:szCs w:val="20"/>
          <w:lang w:eastAsia="it-IT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425" w:hanging="357"/>
        <w:contextualSpacing w:val="false"/>
        <w:rPr>
          <w:rFonts w:ascii="Verdana" w:hAnsi="Verdana" w:eastAsia="Times New Roman" w:cs="Times New Roman"/>
          <w:b/>
          <w:b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it-IT"/>
        </w:rPr>
        <w:t>n.1 Videogastroscopio transnasale HDTV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Visione HDTV (Standard nativo 1080 linee)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Funzioni per rilevamento caratterizzazione e trattamenti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Angolo di visione 140°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 xml:space="preserve">Diametro porzione distale 5,4 mm </w:t>
      </w:r>
    </w:p>
    <w:p>
      <w:pPr>
        <w:pStyle w:val="Normal"/>
        <w:spacing w:lineRule="auto" w:line="240" w:before="0" w:after="120"/>
        <w:ind w:left="567" w:hanging="0"/>
        <w:rPr>
          <w:rFonts w:ascii="Verdana" w:hAnsi="Verdana" w:eastAsia="Times New Roman" w:cs="Times New Roman"/>
          <w:bCs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(per permettere esami in pazienti neonati o al di sotto dei 10 Kg o esami trans stomia o trans nasali)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 xml:space="preserve">Diametro sonda ≤ a 5,8 mm. </w:t>
      </w:r>
    </w:p>
    <w:p>
      <w:pPr>
        <w:pStyle w:val="Normal"/>
        <w:spacing w:lineRule="auto" w:line="240" w:before="0" w:after="120"/>
        <w:ind w:left="567" w:hanging="0"/>
        <w:rPr>
          <w:rFonts w:ascii="Verdana" w:hAnsi="Verdana" w:eastAsia="Times New Roman" w:cs="Times New Roman"/>
          <w:bCs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(per permettere esami in pazienti neonati o al di sotto dei 10 Kg o esami trans stomia o trans nasali)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 xml:space="preserve">Canale operativo di almeno 2.2 mm </w:t>
      </w:r>
    </w:p>
    <w:p>
      <w:pPr>
        <w:pStyle w:val="Normal"/>
        <w:spacing w:lineRule="auto" w:line="240" w:before="0" w:after="120"/>
        <w:ind w:left="567" w:hanging="0"/>
        <w:rPr>
          <w:rFonts w:ascii="Verdana" w:hAnsi="Verdana" w:eastAsia="Times New Roman" w:cs="Times New Roman"/>
          <w:bCs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(per consentire l’utilizzo della maggior parte degli strumenti operativi)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Lunghezza operativa circa 1000mm</w:t>
      </w:r>
    </w:p>
    <w:p>
      <w:pPr>
        <w:pStyle w:val="Normal"/>
        <w:spacing w:before="0" w:after="0"/>
        <w:contextualSpacing/>
        <w:rPr>
          <w:rFonts w:ascii="Verdana" w:hAnsi="Verdana" w:eastAsia="Times New Roman" w:cs="Times New Roman"/>
          <w:b/>
          <w:b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it-IT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425" w:hanging="357"/>
        <w:contextualSpacing w:val="false"/>
        <w:rPr>
          <w:rFonts w:ascii="Verdana" w:hAnsi="Verdana" w:eastAsia="Times New Roman" w:cs="Times New Roman"/>
          <w:b/>
          <w:b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it-IT"/>
        </w:rPr>
        <w:t xml:space="preserve">n. 1 Videocolonscopio Ultrasottile HDTV 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bookmarkStart w:id="3" w:name="_Hlk50813859"/>
      <w:bookmarkEnd w:id="3"/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Visione HDTV (Standard nativo 1080 linee)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bookmarkStart w:id="4" w:name="_Hlk50812715"/>
      <w:bookmarkStart w:id="5" w:name="_Hlk508138591"/>
      <w:bookmarkEnd w:id="5"/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Funzioni per rilevamento caratterizzazione e trattamenti</w:t>
      </w:r>
      <w:bookmarkEnd w:id="4"/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Profondità di campo la più vicina possibile dalla parete da osservare 2-100mm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Angolo di visione 140°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 xml:space="preserve">Diametro porzione distale non superiore a 10 mm </w:t>
      </w:r>
    </w:p>
    <w:p>
      <w:pPr>
        <w:pStyle w:val="Normal"/>
        <w:spacing w:lineRule="auto" w:line="240" w:before="0" w:after="120"/>
        <w:ind w:left="567" w:hanging="0"/>
        <w:rPr>
          <w:rFonts w:ascii="Verdana" w:hAnsi="Verdana" w:eastAsia="Times New Roman" w:cs="Times New Roman"/>
          <w:bCs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 xml:space="preserve">(adatto alla popolazione pediatrica 0-14 anni anche in bambini neonati e lattanti) 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Diametro sonda max. 10.5 mm</w:t>
      </w:r>
    </w:p>
    <w:p>
      <w:pPr>
        <w:pStyle w:val="Normal"/>
        <w:spacing w:lineRule="auto" w:line="240" w:before="0" w:after="120"/>
        <w:ind w:left="567" w:hanging="0"/>
        <w:rPr>
          <w:rFonts w:ascii="Verdana" w:hAnsi="Verdana" w:eastAsia="Times New Roman" w:cs="Times New Roman"/>
          <w:bCs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(adatto alla popolazione pediatrica 0-14 anni)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 xml:space="preserve">Canale operativo &gt; 3 mm </w:t>
      </w:r>
    </w:p>
    <w:p>
      <w:pPr>
        <w:pStyle w:val="Normal"/>
        <w:spacing w:lineRule="auto" w:line="240" w:before="0" w:after="120"/>
        <w:ind w:left="567" w:hanging="0"/>
        <w:rPr>
          <w:rFonts w:ascii="Verdana" w:hAnsi="Verdana" w:eastAsia="Times New Roman" w:cs="Times New Roman"/>
          <w:bCs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(per consentire l’utilizzo degli strumenti operativi)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Sonda con funzione della regolarizzazione manuale della rigidità dello strumento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 xml:space="preserve">Lunghezza operativa almeno di 1300 mm </w:t>
      </w:r>
    </w:p>
    <w:p>
      <w:pPr>
        <w:pStyle w:val="Normal"/>
        <w:spacing w:lineRule="auto" w:line="240" w:before="0" w:after="120"/>
        <w:ind w:left="567" w:hanging="0"/>
        <w:rPr>
          <w:rFonts w:ascii="Verdana" w:hAnsi="Verdana" w:eastAsia="Times New Roman" w:cs="Times New Roman"/>
          <w:bCs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(per permettere l’esplorazione completa del colon e dell’ultima parte dell’ileo)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 xml:space="preserve">Canale di lavaggio ausiliario </w:t>
      </w:r>
    </w:p>
    <w:p>
      <w:pPr>
        <w:pStyle w:val="Normal"/>
        <w:spacing w:lineRule="auto" w:line="240" w:before="0" w:after="120"/>
        <w:ind w:left="567" w:hanging="0"/>
        <w:rPr>
          <w:rFonts w:ascii="Verdana" w:hAnsi="Verdana" w:eastAsia="Times New Roman" w:cs="Times New Roman"/>
          <w:bCs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(per permettere di portare a termine l’esame endoscopico anche in condizioni di pulizia del colon  non ottimale)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U/D pari o superiore a 180°;  R/L 160°/160°</w:t>
      </w:r>
    </w:p>
    <w:p>
      <w:pPr>
        <w:pStyle w:val="Normal"/>
        <w:spacing w:before="0" w:after="0"/>
        <w:contextualSpacing/>
        <w:rPr>
          <w:rFonts w:ascii="Verdana" w:hAnsi="Verdana" w:eastAsia="Times New Roman" w:cs="Times New Roman"/>
          <w:b/>
          <w:b/>
          <w:sz w:val="20"/>
          <w:szCs w:val="20"/>
          <w:u w:val="single"/>
          <w:lang w:eastAsia="it-IT"/>
        </w:rPr>
      </w:pPr>
      <w:r>
        <w:rPr>
          <w:rFonts w:eastAsia="Times New Roman" w:cs="Times New Roman" w:ascii="Verdana" w:hAnsi="Verdana"/>
          <w:b/>
          <w:sz w:val="20"/>
          <w:szCs w:val="20"/>
          <w:u w:val="single"/>
          <w:lang w:eastAsia="it-IT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425" w:hanging="357"/>
        <w:contextualSpacing w:val="false"/>
        <w:rPr>
          <w:rFonts w:ascii="Verdana" w:hAnsi="Verdana" w:eastAsia="Times New Roman" w:cs="Times New Roman"/>
          <w:b/>
          <w:b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it-IT"/>
        </w:rPr>
        <w:t xml:space="preserve">n.1 Pompa di  infusione peristaltica </w:t>
      </w:r>
    </w:p>
    <w:p>
      <w:pPr>
        <w:pStyle w:val="Normal"/>
        <w:spacing w:before="0" w:after="0"/>
        <w:ind w:left="426" w:hanging="0"/>
        <w:contextualSpacing/>
        <w:jc w:val="both"/>
        <w:rPr>
          <w:rFonts w:ascii="Verdana" w:hAnsi="Verdana" w:eastAsia="Times New Roman" w:cs="Times New Roman"/>
          <w:bCs/>
          <w:color w:val="000000"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(per lavaggio delle mucose gastriche e coliche per</w:t>
      </w:r>
      <w:r>
        <w:rPr>
          <w:rFonts w:eastAsia="Times New Roman" w:cs="Times New Roman" w:ascii="Verdana" w:hAnsi="Verdana"/>
          <w:bCs/>
          <w:i/>
          <w:color w:val="000000"/>
          <w:sz w:val="20"/>
          <w:szCs w:val="20"/>
          <w:lang w:eastAsia="it-IT"/>
        </w:rPr>
        <w:t xml:space="preserve"> rimuovere sangue, feci ed altro materiale organico, migliorando la visualizzazione, la diagnosi e la terapia durante le procedure endoscopiche. Irrigazione forzata attraverso il canale bioptico o specifico canale di lavaggio ausiliario.)</w:t>
      </w:r>
      <w:r>
        <w:rPr>
          <w:rFonts w:eastAsia="Times New Roman" w:cs="Times New Roman" w:ascii="Verdana" w:hAnsi="Verdana"/>
          <w:bCs/>
          <w:color w:val="000000"/>
          <w:sz w:val="20"/>
          <w:szCs w:val="20"/>
          <w:lang w:eastAsia="it-IT"/>
        </w:rPr>
        <w:t xml:space="preserve"> </w:t>
      </w:r>
    </w:p>
    <w:p>
      <w:pPr>
        <w:pStyle w:val="Normal"/>
        <w:spacing w:before="0" w:after="0"/>
        <w:contextualSpacing/>
        <w:rPr>
          <w:rFonts w:ascii="Verdana" w:hAnsi="Verdana" w:eastAsia="Times New Roman" w:cs="Times New Roman"/>
          <w:bCs/>
          <w:color w:val="000000"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color w:val="000000"/>
          <w:sz w:val="20"/>
          <w:szCs w:val="20"/>
          <w:lang w:eastAsia="it-IT"/>
        </w:rPr>
      </w:r>
    </w:p>
    <w:p>
      <w:pPr>
        <w:pStyle w:val="Normal"/>
        <w:spacing w:lineRule="auto" w:line="240" w:before="120" w:after="120"/>
        <w:rPr>
          <w:rFonts w:ascii="Verdana" w:hAnsi="Verdana" w:eastAsia="Times New Roman" w:cs="Times New Roman"/>
          <w:bCs/>
          <w:color w:val="000000"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color w:val="000000"/>
          <w:sz w:val="20"/>
          <w:szCs w:val="20"/>
          <w:lang w:eastAsia="it-IT"/>
        </w:rPr>
        <w:t xml:space="preserve">Pompa controllabile attraverso comando a pedale e da pulsante remoto per via endoscopica. </w:t>
      </w:r>
    </w:p>
    <w:p>
      <w:pPr>
        <w:pStyle w:val="Normal"/>
        <w:spacing w:lineRule="auto" w:line="240" w:before="120" w:after="120"/>
        <w:rPr>
          <w:rFonts w:ascii="Verdana" w:hAnsi="Verdana" w:eastAsia="Times New Roman" w:cs="Times New Roman"/>
          <w:b/>
          <w:b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color w:val="000000"/>
          <w:sz w:val="20"/>
          <w:szCs w:val="20"/>
          <w:lang w:eastAsia="it-IT"/>
        </w:rPr>
        <w:t>Completa di: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Contenitore acqua da 2 lt.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n.1 conf 10 pz. di raccordo per canale bioptico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n.1 conf.10 pz. tubo lavaggio per canale bioptico</w:t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n.1 conf.10 pz. tubo lavaggio per canale ausialiario</w:t>
      </w:r>
    </w:p>
    <w:p>
      <w:pPr>
        <w:pStyle w:val="Normal"/>
        <w:spacing w:before="0" w:after="0"/>
        <w:contextualSpacing/>
        <w:rPr>
          <w:rFonts w:ascii="Verdana" w:hAnsi="Verdana" w:eastAsia="Times New Roman" w:cs="Times New Roman"/>
          <w:b/>
          <w:b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it-IT"/>
        </w:rPr>
      </w:r>
    </w:p>
    <w:p>
      <w:pPr>
        <w:pStyle w:val="Normal"/>
        <w:spacing w:before="0" w:after="0"/>
        <w:contextualSpacing/>
        <w:rPr>
          <w:rFonts w:ascii="Verdana" w:hAnsi="Verdana" w:eastAsia="Times New Roman" w:cs="Times New Roman"/>
          <w:b/>
          <w:b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it-IT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120"/>
        <w:ind w:left="425" w:hanging="357"/>
        <w:contextualSpacing w:val="false"/>
        <w:rPr>
          <w:rFonts w:ascii="Verdana" w:hAnsi="Verdana" w:eastAsia="Times New Roman" w:cs="Times New Roman"/>
          <w:b/>
          <w:b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/>
          <w:bCs/>
          <w:sz w:val="20"/>
          <w:szCs w:val="20"/>
          <w:lang w:eastAsia="it-IT"/>
        </w:rPr>
        <w:t xml:space="preserve">n.1 Regolatore di CO2 per uso medicale </w:t>
      </w:r>
    </w:p>
    <w:p>
      <w:pPr>
        <w:pStyle w:val="Normal"/>
        <w:spacing w:before="0" w:after="0"/>
        <w:ind w:left="426" w:hanging="0"/>
        <w:contextualSpacing/>
        <w:jc w:val="both"/>
        <w:rPr>
          <w:rFonts w:ascii="Verdana" w:hAnsi="Verdana" w:eastAsia="Times New Roman" w:cs="Times New Roman"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i/>
          <w:sz w:val="20"/>
          <w:szCs w:val="20"/>
          <w:lang w:eastAsia="it-IT"/>
        </w:rPr>
        <w:t>(per utilizzo con strumenti endoscopici</w:t>
      </w:r>
      <w:r>
        <w:rPr>
          <w:rFonts w:eastAsia="Times New Roman" w:cs="Times New Roman" w:ascii="Verdana" w:hAnsi="Verdana"/>
          <w:i/>
          <w:sz w:val="20"/>
          <w:szCs w:val="20"/>
          <w:lang w:eastAsia="it-IT"/>
        </w:rPr>
        <w:t xml:space="preserve"> gastrointestinali. Utile durante esami di colonscopia, enteroscopia, ERCP, EMR e ESD. Possibilità di collegamento alla bombola di gas o all’impianto ospedaliero.</w:t>
      </w:r>
    </w:p>
    <w:p>
      <w:pPr>
        <w:pStyle w:val="Normal"/>
        <w:spacing w:before="0" w:after="0"/>
        <w:contextualSpacing/>
        <w:rPr>
          <w:rFonts w:ascii="Verdana" w:hAnsi="Verdana" w:eastAsia="Times New Roman" w:cs="Times New Roman"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it-IT"/>
        </w:rPr>
      </w:r>
    </w:p>
    <w:p>
      <w:pPr>
        <w:pStyle w:val="Normal"/>
        <w:numPr>
          <w:ilvl w:val="0"/>
          <w:numId w:val="2"/>
        </w:numPr>
        <w:spacing w:lineRule="auto" w:line="240" w:before="0" w:after="120"/>
        <w:ind w:left="567" w:hanging="425"/>
        <w:rPr>
          <w:rFonts w:ascii="Verdana" w:hAnsi="Verdana" w:eastAsia="Times New Roman" w:cs="Times New Roman"/>
          <w:bCs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Cs/>
          <w:sz w:val="20"/>
          <w:szCs w:val="20"/>
          <w:lang w:eastAsia="it-IT"/>
        </w:rPr>
        <w:t>Lunghezza tubo gas 1000 mm</w:t>
      </w:r>
    </w:p>
    <w:p>
      <w:pPr>
        <w:pStyle w:val="Normal"/>
        <w:spacing w:before="0" w:after="0"/>
        <w:contextualSpacing/>
        <w:rPr>
          <w:rFonts w:ascii="Verdana" w:hAnsi="Verdana" w:eastAsia="Times New Roman" w:cs="Times New Roman"/>
          <w:b/>
          <w:b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it-IT"/>
        </w:rPr>
      </w:r>
    </w:p>
    <w:p>
      <w:pPr>
        <w:pStyle w:val="Normal"/>
        <w:spacing w:before="0" w:after="0"/>
        <w:contextualSpacing/>
        <w:rPr>
          <w:rFonts w:ascii="Verdana" w:hAnsi="Verdana" w:eastAsia="Times New Roman" w:cs="Times New Roman"/>
          <w:b/>
          <w:b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it-IT"/>
        </w:rPr>
      </w:r>
    </w:p>
    <w:p>
      <w:pPr>
        <w:pStyle w:val="Normal"/>
        <w:spacing w:before="0" w:after="0"/>
        <w:contextualSpacing/>
        <w:rPr>
          <w:rFonts w:ascii="Verdana" w:hAnsi="Verdana" w:eastAsia="Times New Roman" w:cs="Times New Roman"/>
          <w:sz w:val="20"/>
          <w:szCs w:val="20"/>
          <w:u w:val="single"/>
          <w:lang w:eastAsia="it-IT"/>
        </w:rPr>
      </w:pPr>
      <w:r>
        <w:rPr>
          <w:rFonts w:eastAsia="Times New Roman" w:cs="Times New Roman" w:ascii="Verdana" w:hAnsi="Verdana"/>
          <w:sz w:val="20"/>
          <w:szCs w:val="20"/>
          <w:u w:val="single"/>
          <w:lang w:eastAsia="it-IT"/>
        </w:rPr>
      </w:r>
    </w:p>
    <w:p>
      <w:pPr>
        <w:pStyle w:val="Normal"/>
        <w:spacing w:before="0" w:after="0"/>
        <w:contextualSpacing/>
        <w:jc w:val="both"/>
        <w:rPr>
          <w:rFonts w:ascii="Verdana" w:hAnsi="Verdana" w:eastAsia="Times New Roman" w:cs="Times New Roman"/>
          <w:b/>
          <w:b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sz w:val="20"/>
          <w:szCs w:val="20"/>
          <w:u w:val="single"/>
          <w:lang w:eastAsia="it-IT"/>
        </w:rPr>
        <w:t>FABBISOGNO SANITARIO relativo alla colonna endoscopica (commento aggiuntivo)</w:t>
      </w:r>
      <w:r>
        <w:rPr>
          <w:rFonts w:eastAsia="Times New Roman" w:cs="Times New Roman" w:ascii="Verdana" w:hAnsi="Verdana"/>
          <w:sz w:val="20"/>
          <w:szCs w:val="20"/>
          <w:lang w:eastAsia="it-IT"/>
        </w:rPr>
        <w:t>:</w:t>
      </w:r>
      <w:r>
        <w:rPr>
          <w:rFonts w:eastAsia="Times New Roman" w:cs="Times New Roman" w:ascii="Verdana" w:hAnsi="Verdana"/>
          <w:b/>
          <w:sz w:val="20"/>
          <w:szCs w:val="20"/>
          <w:lang w:eastAsia="it-IT"/>
        </w:rPr>
        <w:t xml:space="preserve"> </w:t>
      </w:r>
    </w:p>
    <w:p>
      <w:pPr>
        <w:pStyle w:val="Normal"/>
        <w:spacing w:before="0" w:after="0"/>
        <w:contextualSpacing/>
        <w:jc w:val="both"/>
        <w:rPr>
          <w:rFonts w:ascii="Verdana" w:hAnsi="Verdana" w:eastAsia="Times New Roman" w:cs="Times New Roman"/>
          <w:i/>
          <w:i/>
          <w:sz w:val="20"/>
          <w:szCs w:val="20"/>
          <w:lang w:eastAsia="it-IT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it-IT"/>
        </w:rPr>
        <w:t>La tecnologia superiore a full HD rappresenta al momento lo stato dell’arte nel campo della risoluzione video e di conseguenza nella visione endoscopica, offrendo le migliori prestazioni utili al depistaggio di lesioni patologiche e/o alterazioni morfologiche delle mucose digestive. Risulta quindi evidente, che nella trasposizione pediatrica delle procedure endoscopiche , dove le lesioni tissutali risultano spesso notevolmente ridotte rispetto al paziente adulto, tale tecnologia offre le migliori garanzie sul piano diagnostico e terapeutico.</w:t>
      </w:r>
    </w:p>
    <w:p>
      <w:pPr>
        <w:pStyle w:val="Normal"/>
        <w:spacing w:before="0" w:after="200"/>
        <w:contextualSpacing/>
        <w:rPr>
          <w:rFonts w:ascii="Verdana" w:hAnsi="Verdana" w:cs="Times New Roman"/>
          <w:i/>
          <w:i/>
          <w:sz w:val="20"/>
          <w:szCs w:val="20"/>
        </w:rPr>
      </w:pPr>
      <w:r>
        <w:rPr>
          <w:rFonts w:cs="Times New Roman" w:ascii="Verdana" w:hAnsi="Verdana"/>
          <w:i/>
          <w:sz w:val="20"/>
          <w:szCs w:val="20"/>
        </w:rPr>
        <w:t>Risulta indispensabile l’utilizzo di strumenti aventi il diametro più piccolo possibile al fine di permettere l’esecuzione di indagini diagnostiche e operative anche al di sotto dei 10 Kg / anno di età</w:t>
      </w:r>
    </w:p>
    <w:p>
      <w:pPr>
        <w:pStyle w:val="Normal"/>
        <w:spacing w:before="0" w:after="200"/>
        <w:contextualSpacing/>
        <w:rPr>
          <w:rFonts w:ascii="Verdana" w:hAnsi="Verdana" w:cs="Times New Roman"/>
          <w:i/>
          <w:i/>
          <w:sz w:val="20"/>
          <w:szCs w:val="20"/>
        </w:rPr>
      </w:pPr>
      <w:r>
        <w:rPr>
          <w:rFonts w:cs="Times New Roman" w:ascii="Verdana" w:hAnsi="Verdana"/>
          <w:i/>
          <w:sz w:val="20"/>
          <w:szCs w:val="20"/>
        </w:rPr>
      </w:r>
    </w:p>
    <w:p>
      <w:pPr>
        <w:pStyle w:val="Normal"/>
        <w:spacing w:before="0" w:after="200"/>
        <w:contextualSpacing/>
        <w:rPr>
          <w:rFonts w:ascii="Verdana" w:hAnsi="Verdana" w:cs="Times New Roman"/>
          <w:b/>
          <w:b/>
          <w:sz w:val="20"/>
          <w:szCs w:val="20"/>
        </w:rPr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145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6b0a5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LibreOffice/7.3.1.3$Windows_X86_64 LibreOffice_project/a69ca51ded25f3eefd52d7bf9a5fad8c90b87951</Application>
  <AppVersion>15.0000</AppVersion>
  <Pages>6</Pages>
  <Words>865</Words>
  <Characters>5050</Characters>
  <CharactersWithSpaces>5800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2023-09-28T10:57:00Z</dcterms:created>
  <dc:creator>chirurgia pediatrica</dc:creator>
  <dc:description/>
  <dc:language>it-IT</dc:language>
  <cp:lastModifiedBy>vincenzo.lomedico</cp:lastModifiedBy>
  <dcterms:modified xsi:type="dcterms:W3CDTF">2023-10-24T09:20:00Z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