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46CA3692" w:rsidR="00823D02" w:rsidRPr="00505DE7" w:rsidRDefault="00823D02" w:rsidP="0003456E">
            <w:pPr>
              <w:widowControl w:val="0"/>
              <w:spacing w:before="60" w:after="60"/>
              <w:jc w:val="both"/>
              <w:rPr>
                <w:rFonts w:ascii="Garamond" w:eastAsia="Batang" w:hAnsi="Garamond" w:cs="Calibri"/>
                <w:sz w:val="20"/>
                <w:szCs w:val="20"/>
              </w:rPr>
            </w:pPr>
            <w:r w:rsidRPr="00505DE7">
              <w:rPr>
                <w:rFonts w:ascii="Garamond" w:eastAsia="Batang" w:hAnsi="Garamond" w:cs="Calibri"/>
                <w:sz w:val="20"/>
                <w:szCs w:val="20"/>
              </w:rPr>
              <w:t>F</w:t>
            </w:r>
            <w:r w:rsidR="00505DE7" w:rsidRPr="00505DE7">
              <w:rPr>
                <w:rFonts w:ascii="Garamond" w:eastAsia="Batang" w:hAnsi="Garamond" w:cs="Calibri"/>
                <w:sz w:val="20"/>
                <w:szCs w:val="20"/>
              </w:rPr>
              <w:t xml:space="preserve">ornitura annuale </w:t>
            </w:r>
            <w:r w:rsidR="00505DE7" w:rsidRPr="00505DE7">
              <w:rPr>
                <w:rFonts w:ascii="Garamond" w:hAnsi="Garamond" w:cs="Garamond"/>
                <w:color w:val="000000"/>
                <w:sz w:val="20"/>
                <w:szCs w:val="20"/>
              </w:rPr>
              <w:t xml:space="preserve">di un sistema denominato </w:t>
            </w:r>
            <w:proofErr w:type="spellStart"/>
            <w:r w:rsidR="00505DE7" w:rsidRPr="00505DE7">
              <w:rPr>
                <w:rFonts w:ascii="Garamond" w:hAnsi="Garamond" w:cs="Garamond"/>
                <w:color w:val="000000"/>
                <w:sz w:val="20"/>
                <w:szCs w:val="20"/>
              </w:rPr>
              <w:t>dynamix</w:t>
            </w:r>
            <w:proofErr w:type="spellEnd"/>
            <w:r w:rsidR="00505DE7" w:rsidRPr="00505DE7">
              <w:rPr>
                <w:rFonts w:ascii="Garamond" w:hAnsi="Garamond" w:cs="Garamond"/>
                <w:color w:val="000000"/>
                <w:sz w:val="20"/>
                <w:szCs w:val="20"/>
              </w:rPr>
              <w:t xml:space="preserve"> </w:t>
            </w:r>
            <w:proofErr w:type="spellStart"/>
            <w:r w:rsidR="00505DE7" w:rsidRPr="00505DE7">
              <w:rPr>
                <w:rFonts w:ascii="Garamond" w:hAnsi="Garamond" w:cs="Garamond"/>
                <w:color w:val="000000"/>
                <w:sz w:val="20"/>
                <w:szCs w:val="20"/>
              </w:rPr>
              <w:t>biodaptor</w:t>
            </w:r>
            <w:proofErr w:type="spellEnd"/>
            <w:r w:rsidR="00505DE7" w:rsidRPr="00505DE7">
              <w:rPr>
                <w:rFonts w:ascii="Garamond" w:hAnsi="Garamond" w:cs="Garamond"/>
                <w:color w:val="000000"/>
                <w:sz w:val="20"/>
                <w:szCs w:val="20"/>
              </w:rPr>
              <w:t>, per i distretti coronarici e periferico, occorrente alle UU.OO.C. di Radiologia Interventistica e di Emodinamica dell’</w:t>
            </w:r>
            <w:proofErr w:type="spellStart"/>
            <w:r w:rsidR="00505DE7" w:rsidRPr="00505DE7">
              <w:rPr>
                <w:rFonts w:ascii="Garamond" w:hAnsi="Garamond" w:cs="Garamond"/>
                <w:color w:val="000000"/>
                <w:sz w:val="20"/>
                <w:szCs w:val="20"/>
              </w:rPr>
              <w:t>Arnas</w:t>
            </w:r>
            <w:proofErr w:type="spellEnd"/>
            <w:r w:rsidR="00505DE7" w:rsidRPr="00505DE7">
              <w:rPr>
                <w:rFonts w:ascii="Garamond" w:hAnsi="Garamond" w:cs="Garamond"/>
                <w:color w:val="000000"/>
                <w:sz w:val="20"/>
                <w:szCs w:val="20"/>
              </w:rPr>
              <w:t xml:space="preserve"> Civico-Di Cristina- </w:t>
            </w:r>
            <w:proofErr w:type="spellStart"/>
            <w:r w:rsidR="00505DE7" w:rsidRPr="00505DE7">
              <w:rPr>
                <w:rFonts w:ascii="Garamond" w:hAnsi="Garamond" w:cs="Garamond"/>
                <w:color w:val="000000"/>
                <w:sz w:val="20"/>
                <w:szCs w:val="20"/>
              </w:rPr>
              <w:t>Benfratelli</w:t>
            </w:r>
            <w:proofErr w:type="spellEnd"/>
            <w:r w:rsidR="00505DE7" w:rsidRPr="00505DE7">
              <w:rPr>
                <w:rFonts w:ascii="Garamond" w:hAnsi="Garamond" w:cs="Garamond"/>
                <w:color w:val="000000"/>
                <w:sz w:val="20"/>
                <w:szCs w:val="20"/>
              </w:rPr>
              <w:t xml:space="preserve"> di Palermo</w:t>
            </w:r>
            <w:r w:rsidR="00910E20" w:rsidRPr="00505DE7">
              <w:rPr>
                <w:rFonts w:ascii="Garamond" w:eastAsia="Batang" w:hAnsi="Garamond" w:cs="Calibri"/>
                <w:sz w:val="20"/>
                <w:szCs w:val="20"/>
              </w:rPr>
              <w:t xml:space="preserve"> </w:t>
            </w:r>
            <w:r w:rsidR="00505DE7" w:rsidRPr="00505DE7">
              <w:rPr>
                <w:rFonts w:ascii="Garamond" w:eastAsia="Batang" w:hAnsi="Garamond" w:cs="Calibri"/>
                <w:sz w:val="20"/>
                <w:szCs w:val="20"/>
              </w:rPr>
              <w:t>.</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245E1390"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lastRenderedPageBreak/>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lastRenderedPageBreak/>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 xml:space="preserve">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w:t>
            </w:r>
            <w:r w:rsidRPr="004241DA">
              <w:rPr>
                <w:rFonts w:ascii="Calibri" w:hAnsi="Calibri" w:cs="Calibri"/>
                <w:sz w:val="20"/>
                <w:szCs w:val="20"/>
              </w:rPr>
              <w:lastRenderedPageBreak/>
              <w:t>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3) i reati tributari ai sensi del decreto legislativo 10 marzo 2000, n. 74, i delitti societari di cui agli articoli 2621 e </w:t>
            </w:r>
            <w:r w:rsidRPr="004241DA">
              <w:rPr>
                <w:rFonts w:ascii="Calibri" w:hAnsi="Calibri" w:cs="Calibri"/>
                <w:bCs/>
                <w:sz w:val="20"/>
                <w:szCs w:val="20"/>
              </w:rPr>
              <w:lastRenderedPageBreak/>
              <w:t>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lastRenderedPageBreak/>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lastRenderedPageBreak/>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lastRenderedPageBreak/>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06DB" w14:textId="77777777" w:rsidR="00073E99" w:rsidRDefault="00073E99" w:rsidP="007F394F">
      <w:r>
        <w:separator/>
      </w:r>
    </w:p>
  </w:endnote>
  <w:endnote w:type="continuationSeparator" w:id="0">
    <w:p w14:paraId="256BD094" w14:textId="77777777" w:rsidR="00073E99" w:rsidRDefault="00073E99"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F537" w14:textId="77777777" w:rsidR="00073E99" w:rsidRDefault="00073E99" w:rsidP="007F394F">
      <w:r>
        <w:separator/>
      </w:r>
    </w:p>
  </w:footnote>
  <w:footnote w:type="continuationSeparator" w:id="0">
    <w:p w14:paraId="0E5C56EA" w14:textId="77777777" w:rsidR="00073E99" w:rsidRDefault="00073E99"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73E99"/>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3520"/>
    <w:rsid w:val="004241DA"/>
    <w:rsid w:val="004716C0"/>
    <w:rsid w:val="004746DD"/>
    <w:rsid w:val="004803FF"/>
    <w:rsid w:val="00490E3D"/>
    <w:rsid w:val="00494BFA"/>
    <w:rsid w:val="004A4DF4"/>
    <w:rsid w:val="004A50F8"/>
    <w:rsid w:val="004A5605"/>
    <w:rsid w:val="004B00A2"/>
    <w:rsid w:val="004B12E7"/>
    <w:rsid w:val="004C2B86"/>
    <w:rsid w:val="004D3796"/>
    <w:rsid w:val="004D7547"/>
    <w:rsid w:val="004E1BE1"/>
    <w:rsid w:val="00505DE7"/>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D03EC"/>
    <w:rsid w:val="00CE3AFB"/>
    <w:rsid w:val="00CF7165"/>
    <w:rsid w:val="00D06362"/>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4902</Words>
  <Characters>27942</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2024-10-06T12:07:00Z</dcterms:created>
  <dcterms:modified xsi:type="dcterms:W3CDTF">2024-10-06T12:07:00Z</dcterms:modified>
</cp:coreProperties>
</file>